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B5E47">
      <w:pPr>
        <w:spacing w:line="360" w:lineRule="auto"/>
        <w:rPr>
          <w:rFonts w:hint="eastAsia" w:ascii="方正小标宋_GBK" w:hAnsi="方正小标宋_GBK" w:eastAsia="方正小标宋_GBK" w:cs="方正小标宋_GBK"/>
          <w:bCs/>
          <w:sz w:val="56"/>
          <w:szCs w:val="56"/>
        </w:rPr>
      </w:pPr>
      <w:bookmarkStart w:id="12" w:name="_GoBack"/>
      <w:bookmarkEnd w:id="12"/>
    </w:p>
    <w:p w14:paraId="3F33A088">
      <w:pPr>
        <w:pStyle w:val="19"/>
        <w:ind w:firstLine="400"/>
      </w:pPr>
    </w:p>
    <w:p w14:paraId="71F30993">
      <w:pPr>
        <w:spacing w:line="360" w:lineRule="auto"/>
        <w:jc w:val="center"/>
        <w:rPr>
          <w:rFonts w:ascii="方正小标宋_GBK" w:hAnsi="方正小标宋_GBK" w:eastAsia="方正小标宋_GBK" w:cs="方正小标宋_GBK"/>
          <w:bCs/>
          <w:sz w:val="56"/>
          <w:szCs w:val="56"/>
        </w:rPr>
      </w:pPr>
      <w:r>
        <w:rPr>
          <w:rFonts w:hint="eastAsia" w:ascii="方正小标宋_GBK" w:hAnsi="方正小标宋_GBK" w:eastAsia="方正小标宋_GBK" w:cs="方正小标宋_GBK"/>
          <w:bCs/>
          <w:sz w:val="56"/>
          <w:szCs w:val="56"/>
          <w:u w:val="single"/>
        </w:rPr>
        <w:t>衡阳纺织机械厂地块产业策划和城市更新规划编制</w:t>
      </w:r>
    </w:p>
    <w:p w14:paraId="4FF1D962">
      <w:pPr>
        <w:pStyle w:val="12"/>
        <w:ind w:firstLine="0" w:firstLineChars="0"/>
        <w:rPr>
          <w:sz w:val="36"/>
          <w:szCs w:val="36"/>
        </w:rPr>
      </w:pPr>
    </w:p>
    <w:p w14:paraId="6D569313">
      <w:pPr>
        <w:pStyle w:val="9"/>
        <w:spacing w:line="480" w:lineRule="exact"/>
        <w:ind w:left="0" w:leftChars="0"/>
        <w:jc w:val="center"/>
        <w:rPr>
          <w:rFonts w:ascii="华文中宋" w:hAnsi="华文中宋" w:eastAsia="华文中宋"/>
          <w:b/>
          <w:sz w:val="48"/>
          <w:szCs w:val="48"/>
        </w:rPr>
      </w:pPr>
    </w:p>
    <w:p w14:paraId="2AD65FE9">
      <w:pPr>
        <w:pStyle w:val="14"/>
      </w:pPr>
    </w:p>
    <w:p w14:paraId="3BD77D89">
      <w:pPr>
        <w:pStyle w:val="9"/>
        <w:spacing w:line="480" w:lineRule="exact"/>
        <w:ind w:left="0" w:leftChars="0"/>
        <w:jc w:val="center"/>
        <w:rPr>
          <w:rFonts w:ascii="方正小标宋_GBK" w:hAnsi="方正小标宋_GBK" w:eastAsia="方正小标宋_GBK" w:cs="方正小标宋_GBK"/>
          <w:b/>
          <w:sz w:val="48"/>
          <w:szCs w:val="48"/>
        </w:rPr>
      </w:pPr>
    </w:p>
    <w:p w14:paraId="68736D69">
      <w:pPr>
        <w:pStyle w:val="14"/>
      </w:pPr>
    </w:p>
    <w:p w14:paraId="2211831C">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075309A3">
      <w:pPr>
        <w:pStyle w:val="12"/>
        <w:ind w:firstLine="964"/>
        <w:rPr>
          <w:rFonts w:ascii="方正小标宋_GBK" w:hAnsi="方正小标宋_GBK" w:eastAsia="方正小标宋_GBK" w:cs="方正小标宋_GBK"/>
          <w:b/>
          <w:color w:val="auto"/>
          <w:kern w:val="2"/>
          <w:sz w:val="48"/>
          <w:szCs w:val="48"/>
        </w:rPr>
      </w:pPr>
    </w:p>
    <w:p w14:paraId="385FC41B">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4A1BF6AA">
      <w:pPr>
        <w:pStyle w:val="12"/>
        <w:ind w:firstLine="964"/>
        <w:rPr>
          <w:rFonts w:ascii="方正小标宋_GBK" w:hAnsi="方正小标宋_GBK" w:eastAsia="方正小标宋_GBK" w:cs="方正小标宋_GBK"/>
          <w:b/>
          <w:color w:val="auto"/>
          <w:kern w:val="2"/>
          <w:sz w:val="48"/>
          <w:szCs w:val="48"/>
        </w:rPr>
      </w:pPr>
    </w:p>
    <w:p w14:paraId="69082916">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7FF9BC27">
      <w:pPr>
        <w:pStyle w:val="12"/>
        <w:ind w:firstLine="964"/>
        <w:rPr>
          <w:rFonts w:ascii="方正小标宋_GBK" w:hAnsi="方正小标宋_GBK" w:eastAsia="方正小标宋_GBK" w:cs="方正小标宋_GBK"/>
          <w:b/>
          <w:color w:val="auto"/>
          <w:kern w:val="2"/>
          <w:sz w:val="48"/>
          <w:szCs w:val="48"/>
        </w:rPr>
      </w:pPr>
    </w:p>
    <w:p w14:paraId="45328FAA">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55DFDBA9">
      <w:pPr>
        <w:pStyle w:val="9"/>
        <w:spacing w:line="480" w:lineRule="exact"/>
        <w:ind w:left="0" w:leftChars="0"/>
        <w:jc w:val="center"/>
        <w:rPr>
          <w:rFonts w:ascii="华文中宋" w:hAnsi="华文中宋" w:eastAsia="华文中宋"/>
          <w:b/>
          <w:sz w:val="52"/>
          <w:szCs w:val="52"/>
        </w:rPr>
      </w:pPr>
    </w:p>
    <w:p w14:paraId="0C405AC8">
      <w:pPr>
        <w:pStyle w:val="12"/>
        <w:ind w:firstLine="0" w:firstLineChars="0"/>
      </w:pPr>
    </w:p>
    <w:p w14:paraId="6108208C">
      <w:pPr>
        <w:pStyle w:val="9"/>
        <w:adjustRightInd w:val="0"/>
        <w:snapToGrid w:val="0"/>
        <w:spacing w:before="156" w:beforeLines="50" w:line="480" w:lineRule="exact"/>
        <w:ind w:left="0" w:leftChars="0"/>
        <w:rPr>
          <w:rFonts w:ascii="宋体" w:hAnsi="宋体" w:cs="宋体"/>
          <w:b/>
          <w:sz w:val="40"/>
          <w:szCs w:val="32"/>
        </w:rPr>
      </w:pPr>
    </w:p>
    <w:p w14:paraId="23482CB7">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u w:val="single"/>
        </w:rPr>
        <w:t>衡阳市国有资产投资控股集团有限公司</w:t>
      </w:r>
    </w:p>
    <w:p w14:paraId="1F630CE1">
      <w:pPr>
        <w:pStyle w:val="9"/>
        <w:adjustRightInd w:val="0"/>
        <w:snapToGrid w:val="0"/>
        <w:spacing w:line="480" w:lineRule="exact"/>
        <w:ind w:left="0" w:leftChars="0"/>
        <w:jc w:val="center"/>
      </w:pPr>
      <w:r>
        <w:rPr>
          <w:rFonts w:hint="eastAsia" w:ascii="方正小标宋_GBK" w:hAnsi="方正小标宋_GBK" w:eastAsia="方正小标宋_GBK" w:cs="方正小标宋_GBK"/>
          <w:bCs/>
          <w:sz w:val="40"/>
          <w:szCs w:val="32"/>
        </w:rPr>
        <w:t>二〇二五年</w:t>
      </w:r>
      <w:r>
        <w:rPr>
          <w:rFonts w:hint="eastAsia" w:ascii="方正小标宋_GBK" w:hAnsi="方正小标宋_GBK" w:eastAsia="方正小标宋_GBK" w:cs="方正小标宋_GBK"/>
          <w:bCs/>
          <w:sz w:val="40"/>
          <w:szCs w:val="32"/>
          <w:u w:val="single"/>
        </w:rPr>
        <w:t xml:space="preserve"> 十</w:t>
      </w:r>
      <w:r>
        <w:rPr>
          <w:rFonts w:hint="eastAsia" w:ascii="方正小标宋_GBK" w:hAnsi="方正小标宋_GBK" w:eastAsia="方正小标宋_GBK" w:cs="方正小标宋_GBK"/>
          <w:bCs/>
          <w:sz w:val="40"/>
          <w:szCs w:val="32"/>
          <w:u w:val="single"/>
          <w:lang w:val="en-US" w:eastAsia="zh-CN"/>
        </w:rPr>
        <w:t>二</w:t>
      </w:r>
      <w:r>
        <w:rPr>
          <w:rFonts w:hint="eastAsia" w:ascii="方正小标宋_GBK" w:hAnsi="方正小标宋_GBK" w:eastAsia="方正小标宋_GBK" w:cs="方正小标宋_GBK"/>
          <w:bCs/>
          <w:sz w:val="40"/>
          <w:szCs w:val="32"/>
          <w:u w:val="single"/>
        </w:rPr>
        <w:t xml:space="preserve"> </w:t>
      </w:r>
      <w:r>
        <w:rPr>
          <w:rFonts w:hint="eastAsia" w:ascii="方正小标宋_GBK" w:hAnsi="方正小标宋_GBK" w:eastAsia="方正小标宋_GBK" w:cs="方正小标宋_GBK"/>
          <w:bCs/>
          <w:sz w:val="40"/>
          <w:szCs w:val="32"/>
        </w:rPr>
        <w:t>月</w:t>
      </w:r>
    </w:p>
    <w:p w14:paraId="4ABBB701">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310C2950">
      <w:pPr>
        <w:pStyle w:val="11"/>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337ED6ED">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42F56F50">
      <w:pPr>
        <w:tabs>
          <w:tab w:val="left" w:leader="middleDot" w:pos="0"/>
          <w:tab w:val="right" w:leader="dot" w:pos="8820"/>
        </w:tabs>
        <w:adjustRightInd w:val="0"/>
        <w:snapToGrid w:val="0"/>
        <w:spacing w:line="480" w:lineRule="exact"/>
        <w:jc w:val="center"/>
        <w:rPr>
          <w:rFonts w:hint="eastAsia" w:eastAsia="宋体"/>
          <w:b/>
          <w:bCs/>
          <w:spacing w:val="10"/>
          <w:sz w:val="24"/>
          <w:lang w:eastAsia="zh-CN"/>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1</w:t>
      </w:r>
      <w:r>
        <w:rPr>
          <w:rFonts w:hint="eastAsia" w:ascii="宋体" w:hAnsi="宋体"/>
          <w:b/>
          <w:bCs/>
          <w:spacing w:val="10"/>
          <w:sz w:val="24"/>
          <w:lang w:val="en-US" w:eastAsia="zh-CN"/>
        </w:rPr>
        <w:t>0</w:t>
      </w:r>
    </w:p>
    <w:p w14:paraId="0B2C29F5">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eastAsia="zh-CN"/>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w:t>
      </w:r>
      <w:r>
        <w:rPr>
          <w:rFonts w:hint="eastAsia" w:ascii="宋体" w:hAnsi="宋体"/>
          <w:b/>
          <w:bCs/>
          <w:spacing w:val="10"/>
          <w:sz w:val="24"/>
          <w:lang w:val="en-US" w:eastAsia="zh-CN"/>
        </w:rPr>
        <w:t>5</w:t>
      </w:r>
    </w:p>
    <w:p w14:paraId="27C7A4B3">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val="en-US" w:eastAsia="zh-CN"/>
        </w:rPr>
      </w:pPr>
      <w:r>
        <w:rPr>
          <w:rFonts w:hint="eastAsia" w:ascii="宋体" w:hAnsi="宋体"/>
          <w:b/>
          <w:bCs/>
          <w:sz w:val="24"/>
        </w:rPr>
        <w:t>第四章  评标办法（综合评分法）</w:t>
      </w:r>
      <w:r>
        <w:rPr>
          <w:rFonts w:hint="eastAsia" w:ascii="宋体" w:hAnsi="宋体"/>
          <w:spacing w:val="10"/>
          <w:sz w:val="24"/>
        </w:rPr>
        <w:tab/>
      </w:r>
      <w:r>
        <w:rPr>
          <w:rFonts w:hint="eastAsia" w:ascii="宋体" w:hAnsi="宋体"/>
          <w:b/>
          <w:bCs/>
          <w:spacing w:val="10"/>
          <w:sz w:val="24"/>
        </w:rPr>
        <w:t>2</w:t>
      </w:r>
      <w:r>
        <w:rPr>
          <w:rFonts w:hint="eastAsia" w:ascii="宋体" w:hAnsi="宋体"/>
          <w:b/>
          <w:bCs/>
          <w:spacing w:val="10"/>
          <w:sz w:val="24"/>
          <w:lang w:val="en-US" w:eastAsia="zh-CN"/>
        </w:rPr>
        <w:t>4</w:t>
      </w:r>
    </w:p>
    <w:p w14:paraId="7BB612B5">
      <w:pPr>
        <w:tabs>
          <w:tab w:val="left" w:leader="middleDot" w:pos="0"/>
          <w:tab w:val="right" w:leader="dot" w:pos="8820"/>
        </w:tabs>
        <w:adjustRightInd w:val="0"/>
        <w:snapToGrid w:val="0"/>
        <w:spacing w:line="480" w:lineRule="exact"/>
        <w:jc w:val="left"/>
        <w:rPr>
          <w:rFonts w:hint="eastAsia" w:ascii="宋体" w:hAnsi="宋体" w:eastAsia="宋体"/>
          <w:b/>
          <w:bCs/>
          <w:spacing w:val="10"/>
          <w:sz w:val="24"/>
          <w:lang w:eastAsia="zh-CN"/>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rPr>
        <w:t>2</w:t>
      </w:r>
      <w:r>
        <w:rPr>
          <w:rFonts w:hint="eastAsia" w:ascii="宋体" w:hAnsi="宋体"/>
          <w:b/>
          <w:bCs/>
          <w:spacing w:val="10"/>
          <w:sz w:val="24"/>
          <w:lang w:val="en-US" w:eastAsia="zh-CN"/>
        </w:rPr>
        <w:t>8</w:t>
      </w:r>
    </w:p>
    <w:p w14:paraId="4956394C">
      <w:pPr>
        <w:tabs>
          <w:tab w:val="left" w:leader="middleDot" w:pos="0"/>
          <w:tab w:val="right" w:leader="dot" w:pos="8820"/>
        </w:tabs>
        <w:adjustRightInd w:val="0"/>
        <w:snapToGrid w:val="0"/>
        <w:spacing w:line="480" w:lineRule="exact"/>
        <w:jc w:val="center"/>
        <w:rPr>
          <w:rFonts w:ascii="宋体" w:hAnsi="宋体"/>
          <w:b/>
          <w:bCs/>
          <w:spacing w:val="10"/>
          <w:sz w:val="24"/>
        </w:rPr>
      </w:pPr>
    </w:p>
    <w:p w14:paraId="7656EC76">
      <w:pPr>
        <w:pStyle w:val="16"/>
        <w:spacing w:line="480" w:lineRule="exact"/>
        <w:rPr>
          <w:rFonts w:ascii="宋体" w:hAnsi="宋体"/>
          <w:b/>
          <w:bCs/>
          <w:kern w:val="0"/>
          <w:sz w:val="28"/>
          <w:szCs w:val="28"/>
        </w:rPr>
      </w:pPr>
    </w:p>
    <w:p w14:paraId="0F26576B">
      <w:pPr>
        <w:spacing w:line="480" w:lineRule="exact"/>
        <w:rPr>
          <w:rFonts w:ascii="宋体" w:hAnsi="宋体"/>
          <w:b/>
          <w:bCs/>
          <w:kern w:val="0"/>
          <w:sz w:val="28"/>
          <w:szCs w:val="28"/>
        </w:rPr>
      </w:pPr>
    </w:p>
    <w:p w14:paraId="122903CB">
      <w:pPr>
        <w:pStyle w:val="2"/>
        <w:spacing w:line="480" w:lineRule="exact"/>
        <w:rPr>
          <w:rFonts w:ascii="宋体" w:hAnsi="宋体"/>
          <w:b/>
          <w:bCs/>
          <w:kern w:val="0"/>
          <w:sz w:val="28"/>
          <w:szCs w:val="28"/>
        </w:rPr>
      </w:pPr>
    </w:p>
    <w:p w14:paraId="26161CD2">
      <w:pPr>
        <w:pStyle w:val="16"/>
        <w:spacing w:line="480" w:lineRule="exact"/>
        <w:rPr>
          <w:rFonts w:ascii="宋体" w:hAnsi="宋体"/>
          <w:b/>
          <w:bCs/>
          <w:kern w:val="0"/>
          <w:sz w:val="28"/>
          <w:szCs w:val="28"/>
        </w:rPr>
      </w:pPr>
    </w:p>
    <w:p w14:paraId="5637C1D9">
      <w:pPr>
        <w:spacing w:line="480" w:lineRule="exact"/>
        <w:rPr>
          <w:rFonts w:ascii="宋体" w:hAnsi="宋体"/>
          <w:b/>
          <w:bCs/>
          <w:kern w:val="0"/>
          <w:sz w:val="28"/>
          <w:szCs w:val="28"/>
        </w:rPr>
      </w:pPr>
    </w:p>
    <w:p w14:paraId="25B2A8FC">
      <w:pPr>
        <w:pStyle w:val="2"/>
        <w:spacing w:line="480" w:lineRule="exact"/>
        <w:rPr>
          <w:rFonts w:ascii="宋体" w:hAnsi="宋体"/>
          <w:b/>
          <w:bCs/>
          <w:kern w:val="0"/>
          <w:sz w:val="28"/>
          <w:szCs w:val="28"/>
        </w:rPr>
      </w:pPr>
    </w:p>
    <w:p w14:paraId="67841FCE">
      <w:pPr>
        <w:pStyle w:val="16"/>
        <w:spacing w:line="480" w:lineRule="exact"/>
        <w:rPr>
          <w:rFonts w:ascii="宋体" w:hAnsi="宋体"/>
          <w:b/>
          <w:bCs/>
          <w:kern w:val="0"/>
          <w:sz w:val="28"/>
          <w:szCs w:val="28"/>
        </w:rPr>
      </w:pPr>
    </w:p>
    <w:p w14:paraId="76B28A10">
      <w:pPr>
        <w:spacing w:line="480" w:lineRule="exact"/>
        <w:rPr>
          <w:rFonts w:ascii="宋体" w:hAnsi="宋体"/>
          <w:b/>
          <w:bCs/>
          <w:kern w:val="0"/>
          <w:sz w:val="28"/>
          <w:szCs w:val="28"/>
        </w:rPr>
      </w:pPr>
    </w:p>
    <w:p w14:paraId="1BDF04CB">
      <w:pPr>
        <w:pStyle w:val="2"/>
        <w:spacing w:line="480" w:lineRule="exact"/>
        <w:rPr>
          <w:rFonts w:ascii="宋体" w:hAnsi="宋体"/>
          <w:b/>
          <w:bCs/>
          <w:kern w:val="0"/>
          <w:sz w:val="28"/>
          <w:szCs w:val="28"/>
        </w:rPr>
      </w:pPr>
    </w:p>
    <w:p w14:paraId="5409A49F">
      <w:pPr>
        <w:pStyle w:val="16"/>
        <w:spacing w:line="480" w:lineRule="exact"/>
        <w:rPr>
          <w:rFonts w:ascii="宋体" w:hAnsi="宋体"/>
          <w:b/>
          <w:bCs/>
          <w:kern w:val="0"/>
          <w:sz w:val="28"/>
          <w:szCs w:val="28"/>
        </w:rPr>
      </w:pPr>
    </w:p>
    <w:p w14:paraId="7B5040B4">
      <w:pPr>
        <w:spacing w:line="480" w:lineRule="exact"/>
        <w:rPr>
          <w:rFonts w:ascii="宋体" w:hAnsi="宋体"/>
          <w:b/>
          <w:bCs/>
          <w:kern w:val="0"/>
          <w:sz w:val="28"/>
          <w:szCs w:val="28"/>
        </w:rPr>
      </w:pPr>
    </w:p>
    <w:p w14:paraId="5EC4E521">
      <w:pPr>
        <w:pStyle w:val="2"/>
        <w:spacing w:line="480" w:lineRule="exact"/>
        <w:rPr>
          <w:rFonts w:ascii="宋体" w:hAnsi="宋体"/>
          <w:b/>
          <w:bCs/>
          <w:kern w:val="0"/>
          <w:sz w:val="28"/>
          <w:szCs w:val="28"/>
        </w:rPr>
      </w:pPr>
    </w:p>
    <w:p w14:paraId="7C1D5283">
      <w:pPr>
        <w:spacing w:line="480" w:lineRule="exact"/>
      </w:pPr>
    </w:p>
    <w:p w14:paraId="2F359BA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7BEC1B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84593D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283AD1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D02945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E26276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FF4DF0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4FA0A24">
      <w:pPr>
        <w:adjustRightInd w:val="0"/>
        <w:snapToGrid w:val="0"/>
        <w:spacing w:line="480" w:lineRule="exact"/>
        <w:rPr>
          <w:rFonts w:ascii="黑体" w:hAnsi="黑体" w:eastAsia="黑体" w:cs="黑体"/>
          <w:b/>
          <w:bCs/>
          <w:sz w:val="36"/>
          <w:szCs w:val="36"/>
          <w:shd w:val="clear" w:color="auto" w:fill="FFFFFF"/>
        </w:rPr>
      </w:pPr>
    </w:p>
    <w:p w14:paraId="5C93DD19">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4B69CB1E">
      <w:pPr>
        <w:adjustRightInd w:val="0"/>
        <w:snapToGrid w:val="0"/>
        <w:spacing w:line="560" w:lineRule="exact"/>
        <w:jc w:val="center"/>
        <w:rPr>
          <w:rStyle w:val="23"/>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4B0AB30B">
      <w:pPr>
        <w:adjustRightInd w:val="0"/>
        <w:snapToGrid w:val="0"/>
        <w:spacing w:line="560" w:lineRule="exact"/>
        <w:jc w:val="left"/>
        <w:rPr>
          <w:rStyle w:val="23"/>
          <w:rFonts w:ascii="黑体" w:hAnsi="黑体" w:eastAsia="黑体" w:cs="黑体"/>
          <w:sz w:val="32"/>
          <w:szCs w:val="32"/>
          <w:shd w:val="clear" w:color="auto" w:fill="FFFFFF"/>
        </w:rPr>
      </w:pPr>
    </w:p>
    <w:p w14:paraId="3D365308">
      <w:pPr>
        <w:adjustRightInd w:val="0"/>
        <w:snapToGrid w:val="0"/>
        <w:spacing w:line="560" w:lineRule="exact"/>
        <w:ind w:firstLine="643" w:firstLineChars="200"/>
        <w:jc w:val="left"/>
        <w:rPr>
          <w:rStyle w:val="23"/>
          <w:rFonts w:ascii="黑体" w:hAnsi="黑体" w:eastAsia="黑体" w:cs="黑体"/>
          <w:sz w:val="32"/>
          <w:szCs w:val="32"/>
          <w:shd w:val="clear" w:color="auto" w:fill="FFFFFF"/>
        </w:rPr>
      </w:pPr>
      <w:r>
        <w:rPr>
          <w:rStyle w:val="23"/>
          <w:rFonts w:hint="eastAsia" w:ascii="黑体" w:hAnsi="黑体" w:eastAsia="黑体" w:cs="黑体"/>
          <w:sz w:val="32"/>
          <w:szCs w:val="32"/>
          <w:shd w:val="clear" w:color="auto" w:fill="FFFFFF"/>
        </w:rPr>
        <w:t>一、项目概况与服务范围</w:t>
      </w:r>
    </w:p>
    <w:p w14:paraId="3B5FE96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w:t>
      </w:r>
      <w:r>
        <w:rPr>
          <w:rFonts w:hint="eastAsia" w:ascii="仿宋" w:hAnsi="仿宋" w:eastAsia="仿宋" w:cs="仿宋"/>
          <w:color w:val="000000" w:themeColor="text1"/>
          <w:sz w:val="28"/>
          <w:szCs w:val="28"/>
          <w14:textFill>
            <w14:solidFill>
              <w14:schemeClr w14:val="tx1"/>
            </w14:solidFill>
          </w14:textFill>
        </w:rPr>
        <w:t>衡阳纺织机械厂地块产业策划和城市更新规划编制</w:t>
      </w:r>
    </w:p>
    <w:p w14:paraId="71B35668">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2.项目地点：</w:t>
      </w:r>
      <w:r>
        <w:rPr>
          <w:rFonts w:hint="eastAsia" w:ascii="仿宋" w:hAnsi="仿宋" w:eastAsia="仿宋" w:cs="仿宋"/>
          <w:color w:val="000000" w:themeColor="text1"/>
          <w:sz w:val="28"/>
          <w:szCs w:val="28"/>
          <w14:textFill>
            <w14:solidFill>
              <w14:schemeClr w14:val="tx1"/>
            </w14:solidFill>
          </w14:textFill>
        </w:rPr>
        <w:t>位于衡阳市雁峰区，规划范围位于白沙大道以东，白沙廉租房以北，雁南家园、白沙洲寒婆坳2期以东的衡阳纺织机械厂区域，总面积约173406.6平方米（17.3公顷）。</w:t>
      </w:r>
    </w:p>
    <w:p w14:paraId="7CC333B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规划区位于白沙大道以东，白沙廉租房以北，雁南家园、白沙洲寒婆坳2期以东的衡阳纺织机械厂区域，总面积约173406.6平方米（17.3公顷）。聚焦产业转型升级和发展新兴产业，编制地块产业策划和城市更新规划，计划引进智能家居产业，打造为智能家居产业园。</w:t>
      </w:r>
    </w:p>
    <w:p w14:paraId="76E1A5D5">
      <w:pPr>
        <w:adjustRightInd w:val="0"/>
        <w:snapToGrid w:val="0"/>
        <w:spacing w:line="5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4.服务期限：</w:t>
      </w:r>
      <w:r>
        <w:rPr>
          <w:rFonts w:hint="eastAsia" w:ascii="仿宋" w:hAnsi="仿宋" w:eastAsia="仿宋" w:cs="仿宋"/>
          <w:color w:val="000000" w:themeColor="text1"/>
          <w:sz w:val="28"/>
          <w:szCs w:val="28"/>
          <w14:textFill>
            <w14:solidFill>
              <w14:schemeClr w14:val="tx1"/>
            </w14:solidFill>
          </w14:textFill>
        </w:rPr>
        <w:t>项目正式成果提交后为止。</w:t>
      </w:r>
    </w:p>
    <w:p w14:paraId="37308D36">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5.服务范围：</w:t>
      </w:r>
      <w:r>
        <w:rPr>
          <w:rFonts w:hint="eastAsia" w:ascii="仿宋" w:hAnsi="仿宋" w:eastAsia="仿宋" w:cs="仿宋"/>
          <w:color w:val="000000" w:themeColor="text1"/>
          <w:sz w:val="28"/>
          <w:szCs w:val="28"/>
          <w14:textFill>
            <w14:solidFill>
              <w14:schemeClr w14:val="tx1"/>
            </w14:solidFill>
          </w14:textFill>
        </w:rPr>
        <w:t>规划区现状为衡阳纺织机械厂，属于老旧厂区城市更新区域。结合该区域的空间盘活利用需求，根据自然资源部关于印发《支持城市更新的规划与土地政策指引（</w:t>
      </w:r>
      <w:r>
        <w:rPr>
          <w:rFonts w:ascii="仿宋" w:hAnsi="仿宋" w:eastAsia="仿宋" w:cs="仿宋"/>
          <w:color w:val="000000" w:themeColor="text1"/>
          <w:sz w:val="28"/>
          <w:szCs w:val="28"/>
          <w14:textFill>
            <w14:solidFill>
              <w14:schemeClr w14:val="tx1"/>
            </w14:solidFill>
          </w14:textFill>
        </w:rPr>
        <w:t>2023版）》的通知</w:t>
      </w:r>
      <w:r>
        <w:rPr>
          <w:rFonts w:hint="eastAsia" w:ascii="仿宋" w:hAnsi="仿宋" w:eastAsia="仿宋" w:cs="仿宋"/>
          <w:color w:val="000000" w:themeColor="text1"/>
          <w:sz w:val="28"/>
          <w:szCs w:val="28"/>
          <w14:textFill>
            <w14:solidFill>
              <w14:schemeClr w14:val="tx1"/>
            </w14:solidFill>
          </w14:textFill>
        </w:rPr>
        <w:t>要求：“老旧厂区和产业园区更新应聚焦产业转型升级和发展新兴产业，并着重围绕城市更新的可实施性，加强城市更新项目运营维护、收益分配，以及建筑工程投资测算等方面的专题研究。研究结论将作为确定详细规划相关规划指标和管控要求的参考依据。”</w:t>
      </w:r>
    </w:p>
    <w:p w14:paraId="1F7AFBDE">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基于以上背景和要求，结合规划区实际情况，《衡阳纺织机械厂地块产业策划和城市更新规划》在做好</w:t>
      </w:r>
      <w:r>
        <w:rPr>
          <w:rFonts w:hint="eastAsia" w:ascii="仿宋" w:hAnsi="仿宋" w:eastAsia="仿宋" w:cs="仿宋"/>
          <w:sz w:val="28"/>
          <w:szCs w:val="28"/>
        </w:rPr>
        <w:t>前期基础研究的基础上，</w:t>
      </w:r>
      <w:r>
        <w:rPr>
          <w:rFonts w:hint="eastAsia" w:ascii="仿宋" w:hAnsi="仿宋" w:eastAsia="仿宋" w:cs="仿宋"/>
          <w:color w:val="000000" w:themeColor="text1"/>
          <w:sz w:val="28"/>
          <w:szCs w:val="28"/>
          <w14:textFill>
            <w14:solidFill>
              <w14:schemeClr w14:val="tx1"/>
            </w14:solidFill>
          </w14:textFill>
        </w:rPr>
        <w:t>拟具体形成“策划+规划”的工作成果。具体为：</w:t>
      </w:r>
    </w:p>
    <w:p w14:paraId="7620717B">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（一）基础性研究</w:t>
      </w:r>
    </w:p>
    <w:p w14:paraId="39A605F6">
      <w:pPr>
        <w:adjustRightInd w:val="0"/>
        <w:snapToGrid w:val="0"/>
        <w:spacing w:line="5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1.总体背景分析</w:t>
      </w:r>
    </w:p>
    <w:p w14:paraId="39F9D924">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深入研究分析本项目涉及省市级层面的相关政策背景、上位要求与发展趋势。分析地块的地理区位条件，研究项目在区域中所承载的功能角色与作用。</w:t>
      </w:r>
    </w:p>
    <w:p w14:paraId="1C950DCE">
      <w:pPr>
        <w:adjustRightInd w:val="0"/>
        <w:snapToGrid w:val="0"/>
        <w:spacing w:line="5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2.基地现状分析</w:t>
      </w:r>
    </w:p>
    <w:p w14:paraId="104A6AF7">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梳理规划范围内土地、建筑、生活、设施、文化、生态、产业、安全等方面的基础情况。全面摸清土地利用现状、土地建设动态、土地权属、特色资源等，并对现状建筑、现状道路、公服设施、市政设施等建设情况进行详细分析和问题诊断。</w:t>
      </w:r>
    </w:p>
    <w:p w14:paraId="11CF187B">
      <w:pPr>
        <w:adjustRightInd w:val="0"/>
        <w:snapToGrid w:val="0"/>
        <w:spacing w:line="5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3.现行规划解读</w:t>
      </w:r>
    </w:p>
    <w:p w14:paraId="3DE27157">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详细解读相关规划对本项目在规划定位:功能分区、规划用地、指标管控、道路交通、服务设施、空间形态等各方面，深入分析解读各相关规划对项目开发的建设要求。</w:t>
      </w:r>
    </w:p>
    <w:p w14:paraId="37FE7AFD">
      <w:pPr>
        <w:adjustRightInd w:val="0"/>
        <w:snapToGrid w:val="0"/>
        <w:spacing w:line="560" w:lineRule="exact"/>
        <w:ind w:firstLine="560" w:firstLineChars="200"/>
        <w:jc w:val="left"/>
        <w:rPr>
          <w:rFonts w:ascii="仿宋" w:hAnsi="仿宋" w:eastAsia="仿宋" w:cs="仿宋"/>
          <w:sz w:val="28"/>
          <w:szCs w:val="28"/>
        </w:rPr>
      </w:pPr>
      <w:bookmarkStart w:id="0" w:name="OLE_LINK5"/>
      <w:r>
        <w:rPr>
          <w:rFonts w:hint="eastAsia" w:ascii="仿宋" w:hAnsi="仿宋" w:eastAsia="仿宋" w:cs="仿宋"/>
          <w:sz w:val="28"/>
          <w:szCs w:val="28"/>
        </w:rPr>
        <w:t>4.市场分析研究</w:t>
      </w:r>
    </w:p>
    <w:p w14:paraId="32139647">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厘清项目与周边区域的发展关系，了解相关产业类型市场的发展规模和增长趋势，分析目标客户群体规模，研判区域竞争态势，评估项目发展潜力，为项目的市场定位和发展策略提供方向。</w:t>
      </w:r>
    </w:p>
    <w:bookmarkEnd w:id="0"/>
    <w:p w14:paraId="54FDCFBC">
      <w:pPr>
        <w:adjustRightInd w:val="0"/>
        <w:snapToGrid w:val="0"/>
        <w:spacing w:line="5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5.相关案例借鉴</w:t>
      </w:r>
    </w:p>
    <w:p w14:paraId="1163791D">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选取与项目综合特征相似的国内外成功案例进行剖析研究，总结其开发模式、产业选择和项目运营等多方面的成功经验，为地块的更新规划找到合适的发展路径与更新模式。</w:t>
      </w:r>
    </w:p>
    <w:p w14:paraId="313FD217">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（二）产业策划</w:t>
      </w:r>
      <w:bookmarkStart w:id="1" w:name="OLE_LINK3"/>
      <w:bookmarkStart w:id="2" w:name="OLE_LINK2"/>
    </w:p>
    <w:bookmarkEnd w:id="1"/>
    <w:p w14:paraId="6B4E2E0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1.发展目标定位</w:t>
      </w:r>
    </w:p>
    <w:p w14:paraId="5432F2F0">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根据国家与省级相关政策、市区级工作部署情况，以及规划范围现状建设实情，结合上位规划具体要求，研究规划范围与周边地区功能关系，落实上位战略、相关规划与政策中对本片区的定义，提出契合于片区未来发展趋势的功能定位与目标愿景。</w:t>
      </w:r>
    </w:p>
    <w:p w14:paraId="327F99D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2.产业发展策略</w:t>
      </w:r>
    </w:p>
    <w:p w14:paraId="204DC5B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明晰目标导向，结合前期分析研究诊断出的相关需求、相关问题与结论，以及国家政策、省市区发展战略和上位规划要求，分析研究规划范围的盘活利用需求，针对性提出相应的产业发展策略，引导新的功能进入和基础设施有序协同。</w:t>
      </w:r>
    </w:p>
    <w:p w14:paraId="7A88F7E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3.产业结构规划</w:t>
      </w:r>
    </w:p>
    <w:p w14:paraId="14A3CE36">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（1）规划理念原则：结合计划引入功能的需求和特征，提出产业发展的理念与原则，明确适应于城市更新的产业导入模式。</w:t>
      </w:r>
    </w:p>
    <w:p w14:paraId="15C0300D">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总体产业结构：系统梳理与筛选适应于规划范围内市场发展的产业动能转换方向，明确片区主导产业（功能）及相关配套产业（功能），以重点引擎项目（功能）策划为核心，以其他市场需求性功能业态为补充，对产业功能类型进行逐级筛选汇总，构成相互匹配的、完善的产业发展结构。同时，结合实际需求预测，确定各类产业功能的建设规模及比例。</w:t>
      </w:r>
    </w:p>
    <w:p w14:paraId="59B8B298">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（3）产业空间布局：结合主导功能及业务分工、设施协同的空间需求，提出产业的总体空间布局、业态详细布局等建议。</w:t>
      </w:r>
    </w:p>
    <w:p w14:paraId="46C1132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4.重点功能策划</w:t>
      </w:r>
    </w:p>
    <w:p w14:paraId="20B7777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针对不同功能分区，提出相应的业态运营指引，明确主要功能业态类型、建设规模、产居比例控制等引导性内容。</w:t>
      </w:r>
    </w:p>
    <w:p w14:paraId="3EDEE8DA">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5.实施保障建议</w:t>
      </w:r>
    </w:p>
    <w:p w14:paraId="2B5A8E3E">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结合当前政策及产业的特色运营需求，提出相应的运营模式建议与发展指引。</w:t>
      </w:r>
    </w:p>
    <w:bookmarkEnd w:id="2"/>
    <w:p w14:paraId="3B78E161">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（三）更新规划</w:t>
      </w:r>
    </w:p>
    <w:p w14:paraId="0EDC4BE9">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bookmarkStart w:id="3" w:name="OLE_LINK14"/>
      <w:r>
        <w:rPr>
          <w:rFonts w:hint="eastAsia" w:ascii="仿宋" w:hAnsi="仿宋" w:eastAsia="仿宋" w:cs="仿宋"/>
          <w:color w:val="000000" w:themeColor="text1"/>
          <w:sz w:val="28"/>
          <w:szCs w:val="28"/>
          <w14:textFill>
            <w14:solidFill>
              <w14:schemeClr w14:val="tx1"/>
            </w14:solidFill>
          </w14:textFill>
        </w:rPr>
        <w:t>总体更新方案</w:t>
      </w:r>
    </w:p>
    <w:bookmarkEnd w:id="3"/>
    <w:p w14:paraId="5AF03E03">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明确更新片区内项目的改造方案。根据国家、省、市、区城市更新相关政策规定，结合更新片区内土地与建筑物的权属、质量等方面的核查结果，明确改造、拆建、补建与安置方案，划定各类更新改造用地、独立占地的产业项目（功能）、配套生活功能、城市基础设施、公共服务设施用地，以及开发建设用地的具体范围，初步测算各项更新改造建设成本；并在产业策划的空间布局方案基础上，初步测算开发收益，做好城市更新片区规划前的经济效益平衡保障。</w:t>
      </w:r>
    </w:p>
    <w:p w14:paraId="1339082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color w:val="000000" w:themeColor="text1"/>
          <w:sz w:val="28"/>
          <w:szCs w:val="28"/>
          <w14:textFill>
            <w14:solidFill>
              <w14:schemeClr w14:val="tx1"/>
            </w14:solidFill>
          </w14:textFill>
        </w:rPr>
        <w:t>总平面布局</w:t>
      </w:r>
      <w:r>
        <w:rPr>
          <w:rFonts w:hint="eastAsia" w:ascii="仿宋" w:hAnsi="仿宋" w:eastAsia="仿宋" w:cs="仿宋"/>
          <w:sz w:val="28"/>
          <w:szCs w:val="28"/>
        </w:rPr>
        <w:t>方案</w:t>
      </w:r>
    </w:p>
    <w:p w14:paraId="0796EF3F">
      <w:pPr>
        <w:adjustRightInd w:val="0"/>
        <w:snapToGrid w:val="0"/>
        <w:spacing w:line="560" w:lineRule="exact"/>
        <w:ind w:firstLine="560" w:firstLineChars="200"/>
        <w:rPr>
          <w:rFonts w:ascii="仿宋" w:hAnsi="仿宋" w:eastAsia="仿宋" w:cs="仿宋"/>
          <w:sz w:val="28"/>
          <w:szCs w:val="28"/>
        </w:rPr>
      </w:pPr>
      <w:bookmarkStart w:id="4" w:name="_Hlk211701398"/>
      <w:r>
        <w:rPr>
          <w:rFonts w:hint="eastAsia" w:ascii="仿宋" w:hAnsi="仿宋" w:eastAsia="仿宋" w:cs="仿宋"/>
          <w:sz w:val="28"/>
          <w:szCs w:val="28"/>
        </w:rPr>
        <w:t>在加强总体城市更新方案与产业空间布局相结合的基础上，对基地内的功能空间进行统筹与整合，通过重塑城市空间关系、理顺生产与生活功能，优化交通组织体系、提升公共空间品质、完善景观风貌等系统性空间策略，制定优质高效的城市空间设计方案。</w:t>
      </w:r>
    </w:p>
    <w:p w14:paraId="70A9F60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3.分期规划引导</w:t>
      </w:r>
    </w:p>
    <w:p w14:paraId="00526303">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制定城市更新项目实施计划，明确更新类型、更新规模、实施期限等要素内容，提出分期建设规划，稳步推动城市更新行动。</w:t>
      </w:r>
    </w:p>
    <w:bookmarkEnd w:id="4"/>
    <w:p w14:paraId="256B067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4.效益评估与测算</w:t>
      </w:r>
    </w:p>
    <w:p w14:paraId="35ED1D7B">
      <w:pPr>
        <w:adjustRightInd w:val="0"/>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构建可行的收益回报机制，提出与项目匹配的投融资组合模式建议等，保障城市更新及产业导入顺利实施。</w:t>
      </w:r>
    </w:p>
    <w:p w14:paraId="20A4FED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5.法定规划协同</w:t>
      </w:r>
    </w:p>
    <w:p w14:paraId="5748222F">
      <w:pPr>
        <w:adjustRightInd w:val="0"/>
        <w:snapToGrid w:val="0"/>
        <w:spacing w:line="560" w:lineRule="exact"/>
        <w:ind w:firstLine="560"/>
        <w:rPr>
          <w:rFonts w:ascii="仿宋" w:hAnsi="仿宋" w:eastAsia="仿宋" w:cs="仿宋"/>
          <w:sz w:val="28"/>
          <w:szCs w:val="28"/>
        </w:rPr>
      </w:pPr>
      <w:r>
        <w:rPr>
          <w:rFonts w:hint="eastAsia" w:ascii="仿宋" w:hAnsi="仿宋" w:eastAsia="仿宋" w:cs="仿宋"/>
          <w:sz w:val="28"/>
          <w:szCs w:val="28"/>
        </w:rPr>
        <w:t>（1）用地规划衔接：衔接规划范围涉及的现行法定规划要求，结合</w:t>
      </w:r>
      <w:r>
        <w:rPr>
          <w:rFonts w:hint="eastAsia" w:ascii="仿宋" w:hAnsi="仿宋" w:eastAsia="仿宋" w:cs="仿宋"/>
          <w:color w:val="000000" w:themeColor="text1"/>
          <w:sz w:val="28"/>
          <w:szCs w:val="28"/>
          <w14:textFill>
            <w14:solidFill>
              <w14:schemeClr w14:val="tx1"/>
            </w14:solidFill>
          </w14:textFill>
        </w:rPr>
        <w:t>总体更新方案</w:t>
      </w:r>
      <w:r>
        <w:rPr>
          <w:rFonts w:hint="eastAsia" w:ascii="仿宋" w:hAnsi="仿宋" w:eastAsia="仿宋" w:cs="仿宋"/>
          <w:sz w:val="28"/>
          <w:szCs w:val="28"/>
        </w:rPr>
        <w:t>提出相应的用地规划方案。</w:t>
      </w:r>
    </w:p>
    <w:p w14:paraId="4FB3E27B">
      <w:pPr>
        <w:adjustRightInd w:val="0"/>
        <w:snapToGrid w:val="0"/>
        <w:spacing w:line="56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（2）指标要素衔接：进一步落实总平面布局的总体意图，合理确定规划范围内的开发建设高强度、关联设施布局等指标或管控要求，阐明相关详细规划等法定规划调整的主要内容。</w:t>
      </w:r>
    </w:p>
    <w:p w14:paraId="3627D5EC">
      <w:pPr>
        <w:adjustRightInd w:val="0"/>
        <w:snapToGrid w:val="0"/>
        <w:spacing w:line="560" w:lineRule="exact"/>
        <w:ind w:firstLine="643" w:firstLineChars="200"/>
        <w:jc w:val="left"/>
        <w:rPr>
          <w:rStyle w:val="23"/>
          <w:rFonts w:ascii="黑体" w:hAnsi="黑体" w:eastAsia="黑体" w:cs="黑体"/>
          <w:sz w:val="32"/>
          <w:szCs w:val="32"/>
          <w:shd w:val="clear" w:color="auto" w:fill="FFFFFF"/>
        </w:rPr>
      </w:pPr>
      <w:r>
        <w:rPr>
          <w:rStyle w:val="23"/>
          <w:rFonts w:hint="eastAsia" w:ascii="黑体" w:hAnsi="黑体" w:eastAsia="黑体" w:cs="黑体"/>
          <w:sz w:val="32"/>
          <w:szCs w:val="32"/>
          <w:shd w:val="clear" w:color="auto" w:fill="FFFFFF"/>
        </w:rPr>
        <w:t>二、最高投标限价</w:t>
      </w:r>
    </w:p>
    <w:p w14:paraId="25A3B1F5">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w:t>
      </w:r>
      <w:r>
        <w:rPr>
          <w:rFonts w:hint="eastAsia" w:ascii="仿宋" w:hAnsi="仿宋" w:eastAsia="仿宋" w:cs="仿宋"/>
          <w:color w:val="000000" w:themeColor="text1"/>
          <w:sz w:val="28"/>
          <w:szCs w:val="28"/>
          <w:u w:val="single"/>
          <w14:textFill>
            <w14:solidFill>
              <w14:schemeClr w14:val="tx1"/>
            </w14:solidFill>
          </w14:textFill>
        </w:rPr>
        <w:t>716950.00</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p>
    <w:p w14:paraId="666BB502">
      <w:pPr>
        <w:adjustRightInd w:val="0"/>
        <w:snapToGrid w:val="0"/>
        <w:spacing w:line="560" w:lineRule="exact"/>
        <w:ind w:firstLine="643" w:firstLineChars="200"/>
        <w:jc w:val="left"/>
        <w:rPr>
          <w:rStyle w:val="23"/>
          <w:rFonts w:ascii="黑体" w:hAnsi="黑体" w:eastAsia="黑体" w:cs="黑体"/>
          <w:sz w:val="32"/>
          <w:szCs w:val="32"/>
          <w:shd w:val="clear" w:color="auto" w:fill="FFFFFF"/>
        </w:rPr>
      </w:pPr>
      <w:r>
        <w:rPr>
          <w:rStyle w:val="23"/>
          <w:rFonts w:hint="eastAsia" w:ascii="黑体" w:hAnsi="黑体" w:eastAsia="黑体" w:cs="黑体"/>
          <w:sz w:val="32"/>
          <w:szCs w:val="32"/>
          <w:shd w:val="clear" w:color="auto" w:fill="FFFFFF"/>
        </w:rPr>
        <w:t>三、资格要求</w:t>
      </w:r>
    </w:p>
    <w:p w14:paraId="4B7A8EB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31EB61C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2.资质要求：具备相关行政主管部门颁发的</w:t>
      </w:r>
      <w:r>
        <w:rPr>
          <w:rFonts w:hint="eastAsia" w:ascii="仿宋" w:hAnsi="仿宋" w:eastAsia="仿宋" w:cs="仿宋"/>
          <w:sz w:val="28"/>
          <w:szCs w:val="28"/>
          <w:u w:val="single"/>
        </w:rPr>
        <w:t>城乡规划编制资质乙级</w:t>
      </w:r>
      <w:r>
        <w:rPr>
          <w:rFonts w:hint="eastAsia" w:ascii="仿宋" w:hAnsi="仿宋" w:eastAsia="仿宋" w:cs="仿宋"/>
          <w:sz w:val="28"/>
          <w:szCs w:val="28"/>
        </w:rPr>
        <w:t>及以上资质，资质证书处于有效期。</w:t>
      </w:r>
    </w:p>
    <w:p w14:paraId="6EC3C84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3.联合体要求：本次比选不接受联合体参加。</w:t>
      </w:r>
    </w:p>
    <w:p w14:paraId="6C9DE0D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5CB21D90">
      <w:pPr>
        <w:pStyle w:val="2"/>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037ED66C">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15000  </w:t>
      </w:r>
      <w:r>
        <w:rPr>
          <w:rFonts w:hint="eastAsia" w:ascii="仿宋" w:hAnsi="仿宋" w:eastAsia="仿宋" w:cs="仿宋"/>
          <w:sz w:val="28"/>
          <w:szCs w:val="28"/>
        </w:rPr>
        <w:t>元，采用保函形式（银行保函或担保公司保函，具体要求按照参选人须知前附表第16款规定执行）。</w:t>
      </w:r>
    </w:p>
    <w:p w14:paraId="1A54B976">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326B8835">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265F4060">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554B6F3D">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2025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12</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5</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分（北京时间）在衡阳市国有资产投资控股集团有限公司4栋3楼评标室开标，如有变动将提前一天通知各参选单位。</w:t>
      </w:r>
    </w:p>
    <w:p w14:paraId="0ECF49C4">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0C092BCB">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法定代表人身份证明原件及本人身份证原证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以上原件均指的是盖鲜章的原始文件）</w:t>
      </w:r>
    </w:p>
    <w:p w14:paraId="70731F92">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155965D2">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643657A8">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41FA2130">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0033A1B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人：衡阳市国有资产投资控股集团有限公司</w:t>
      </w:r>
    </w:p>
    <w:p w14:paraId="5FBB263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址：衡阳市高新产业技术开发区（西二环）11号1栋3楼313室</w:t>
      </w:r>
    </w:p>
    <w:p w14:paraId="3A68DA4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人：王先生</w:t>
      </w:r>
    </w:p>
    <w:p w14:paraId="3BB91B0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话：0734-8828282</w:t>
      </w:r>
    </w:p>
    <w:p w14:paraId="36E73C8D">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634AAA4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7AF0F3A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址：衡阳市高新产业技术开发区（西二环）11号1栋3楼318室</w:t>
      </w:r>
    </w:p>
    <w:p w14:paraId="315A258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112EB2C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话：0734-8888071</w:t>
      </w:r>
    </w:p>
    <w:p w14:paraId="2031FFCD">
      <w:pPr>
        <w:adjustRightInd w:val="0"/>
        <w:snapToGrid w:val="0"/>
        <w:spacing w:line="560" w:lineRule="exact"/>
        <w:ind w:firstLine="560" w:firstLineChars="200"/>
        <w:jc w:val="left"/>
        <w:rPr>
          <w:rFonts w:ascii="仿宋" w:hAnsi="仿宋" w:eastAsia="仿宋" w:cs="仿宋"/>
          <w:sz w:val="28"/>
          <w:szCs w:val="28"/>
        </w:rPr>
      </w:pPr>
    </w:p>
    <w:p w14:paraId="305E312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7BC4293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7DAF29F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0BF31C7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563094B5"/>
    <w:p w14:paraId="23874E26">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3F37CD35">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39E46101">
      <w:pPr>
        <w:adjustRightInd w:val="0"/>
        <w:snapToGrid w:val="0"/>
        <w:spacing w:line="560" w:lineRule="exact"/>
        <w:jc w:val="left"/>
        <w:rPr>
          <w:rFonts w:ascii="黑体" w:hAnsi="黑体" w:eastAsia="黑体" w:cs="黑体"/>
          <w:b/>
          <w:bCs/>
          <w:kern w:val="0"/>
          <w:sz w:val="32"/>
          <w:szCs w:val="32"/>
        </w:rPr>
      </w:pPr>
    </w:p>
    <w:p w14:paraId="27BD2A3A">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20"/>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164B29A8">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2918B523">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66B1A14B">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7F481470">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62AD617F">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4448AB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180D28F5">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2A7FE6DE">
            <w:pPr>
              <w:widowControl/>
              <w:spacing w:line="480" w:lineRule="exact"/>
              <w:jc w:val="left"/>
              <w:rPr>
                <w:rFonts w:ascii="仿宋" w:hAnsi="仿宋" w:eastAsia="仿宋" w:cs="仿宋"/>
                <w:kern w:val="0"/>
                <w:sz w:val="24"/>
              </w:rPr>
            </w:pPr>
            <w:r>
              <w:rPr>
                <w:rFonts w:hint="eastAsia" w:ascii="仿宋" w:hAnsi="仿宋" w:eastAsia="仿宋" w:cs="仿宋"/>
                <w:kern w:val="0"/>
                <w:sz w:val="24"/>
              </w:rPr>
              <w:t>比 选 人：</w:t>
            </w:r>
            <w:r>
              <w:rPr>
                <w:rFonts w:hint="eastAsia" w:ascii="仿宋" w:hAnsi="仿宋" w:eastAsia="仿宋" w:cs="仿宋"/>
                <w:color w:val="000000" w:themeColor="text1"/>
                <w:kern w:val="0"/>
                <w:sz w:val="24"/>
                <w14:textFill>
                  <w14:solidFill>
                    <w14:schemeClr w14:val="tx1"/>
                  </w14:solidFill>
                </w14:textFill>
              </w:rPr>
              <w:t>衡阳市国有资产投资控股集团有限公司</w:t>
            </w:r>
          </w:p>
          <w:p w14:paraId="5C2BBCB7">
            <w:pPr>
              <w:widowControl/>
              <w:spacing w:line="560" w:lineRule="exact"/>
              <w:jc w:val="left"/>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kern w:val="0"/>
                <w:sz w:val="24"/>
              </w:rPr>
              <w:t>地    址：</w:t>
            </w:r>
            <w:r>
              <w:rPr>
                <w:rFonts w:hint="eastAsia" w:ascii="仿宋" w:hAnsi="仿宋" w:eastAsia="仿宋" w:cs="仿宋"/>
                <w:color w:val="000000" w:themeColor="text1"/>
                <w:kern w:val="0"/>
                <w:sz w:val="24"/>
                <w14:textFill>
                  <w14:solidFill>
                    <w14:schemeClr w14:val="tx1"/>
                  </w14:solidFill>
                </w14:textFill>
              </w:rPr>
              <w:t>衡阳市高新产业技术开发区（西二环）11号1栋3楼313室</w:t>
            </w:r>
          </w:p>
          <w:p w14:paraId="633CF0C7">
            <w:pPr>
              <w:widowControl/>
              <w:spacing w:line="560" w:lineRule="exact"/>
              <w:jc w:val="left"/>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kern w:val="0"/>
                <w:sz w:val="24"/>
              </w:rPr>
              <w:t>联 系 人：</w:t>
            </w:r>
            <w:r>
              <w:rPr>
                <w:rFonts w:hint="eastAsia" w:ascii="仿宋" w:hAnsi="仿宋" w:eastAsia="仿宋" w:cs="仿宋"/>
                <w:color w:val="000000" w:themeColor="text1"/>
                <w:kern w:val="0"/>
                <w:sz w:val="24"/>
                <w14:textFill>
                  <w14:solidFill>
                    <w14:schemeClr w14:val="tx1"/>
                  </w14:solidFill>
                </w14:textFill>
              </w:rPr>
              <w:t>王先生</w:t>
            </w:r>
          </w:p>
          <w:p w14:paraId="7C629CB8">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w:t>
            </w:r>
            <w:r>
              <w:rPr>
                <w:rFonts w:hint="eastAsia" w:ascii="仿宋" w:hAnsi="仿宋" w:eastAsia="仿宋" w:cs="仿宋"/>
                <w:color w:val="000000" w:themeColor="text1"/>
                <w:kern w:val="0"/>
                <w:sz w:val="24"/>
                <w14:textFill>
                  <w14:solidFill>
                    <w14:schemeClr w14:val="tx1"/>
                  </w14:solidFill>
                </w14:textFill>
              </w:rPr>
              <w:t>0734-8828282</w:t>
            </w:r>
          </w:p>
        </w:tc>
      </w:tr>
      <w:tr w14:paraId="2B32ECEB">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B907D0">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768EDB1A">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40946DC6">
            <w:pPr>
              <w:widowControl/>
              <w:spacing w:line="480" w:lineRule="exact"/>
              <w:jc w:val="left"/>
              <w:rPr>
                <w:rFonts w:ascii="仿宋" w:hAnsi="仿宋" w:eastAsia="仿宋" w:cs="仿宋"/>
                <w:spacing w:val="15"/>
                <w:kern w:val="0"/>
                <w:sz w:val="24"/>
              </w:rPr>
            </w:pPr>
            <w:r>
              <w:rPr>
                <w:rFonts w:hint="eastAsia" w:ascii="仿宋" w:hAnsi="仿宋" w:eastAsia="仿宋" w:cs="仿宋"/>
                <w:color w:val="000000" w:themeColor="text1"/>
                <w:kern w:val="0"/>
                <w:sz w:val="24"/>
                <w14:textFill>
                  <w14:solidFill>
                    <w14:schemeClr w14:val="tx1"/>
                  </w14:solidFill>
                </w14:textFill>
              </w:rPr>
              <w:t>衡阳纺织机械厂地块产业策划和城市更新规划编制</w:t>
            </w:r>
          </w:p>
        </w:tc>
      </w:tr>
      <w:tr w14:paraId="4468FBC8">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1F252FB">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73B5125F">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101E4932">
            <w:pPr>
              <w:widowControl/>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规划区位于白沙大道以东，白沙廉租房以北，雁南家园、白沙洲寒婆坳2期以东的衡阳纺织机械厂区域，总面积约173406.6平方米（17.3公顷）。聚焦产业转型升级和发展新兴产业，编制地块产业策划和城市更新规划，计划引进智能家居产业，打造为智能家居产业园。</w:t>
            </w:r>
          </w:p>
        </w:tc>
      </w:tr>
      <w:tr w14:paraId="705D6FD4">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EB95A1">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2E352206">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7B584E46">
            <w:pPr>
              <w:adjustRightInd w:val="0"/>
              <w:snapToGrid w:val="0"/>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 xml:space="preserve">自筹 </w:t>
            </w:r>
          </w:p>
        </w:tc>
      </w:tr>
      <w:tr w14:paraId="3039D4AC">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395D3C3">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6BA1300D">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5E271BA4">
            <w:pPr>
              <w:widowControl/>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面向社会公开比选规划编制类服务机构</w:t>
            </w:r>
          </w:p>
        </w:tc>
      </w:tr>
      <w:tr w14:paraId="6350CB08">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DCFDF19">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3053963A">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5340B323">
            <w:pPr>
              <w:widowControl/>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项目正式成果提交后为止。</w:t>
            </w:r>
          </w:p>
        </w:tc>
      </w:tr>
      <w:tr w14:paraId="05750D9B">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2FFFEA">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4680722C">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500CFAA1">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24FC2E82">
            <w:pPr>
              <w:adjustRightInd w:val="0"/>
              <w:snapToGrid w:val="0"/>
              <w:spacing w:line="560" w:lineRule="exact"/>
              <w:jc w:val="left"/>
              <w:rPr>
                <w:rFonts w:ascii="仿宋" w:hAnsi="仿宋" w:eastAsia="仿宋" w:cs="仿宋"/>
                <w:sz w:val="24"/>
              </w:rPr>
            </w:pPr>
            <w:r>
              <w:rPr>
                <w:rFonts w:ascii="仿宋" w:hAnsi="仿宋" w:eastAsia="仿宋" w:cs="仿宋"/>
                <w:sz w:val="24"/>
              </w:rPr>
              <w:t>2.资质要求：具备</w:t>
            </w:r>
            <w:r>
              <w:rPr>
                <w:rFonts w:hint="eastAsia" w:ascii="仿宋" w:hAnsi="仿宋" w:eastAsia="仿宋" w:cs="仿宋"/>
                <w:sz w:val="24"/>
              </w:rPr>
              <w:t>相关行政</w:t>
            </w:r>
            <w:r>
              <w:rPr>
                <w:rFonts w:ascii="仿宋" w:hAnsi="仿宋" w:eastAsia="仿宋" w:cs="仿宋"/>
                <w:sz w:val="24"/>
              </w:rPr>
              <w:t>主管部门颁发的</w:t>
            </w:r>
            <w:r>
              <w:rPr>
                <w:rFonts w:hint="eastAsia" w:ascii="仿宋" w:hAnsi="仿宋" w:eastAsia="仿宋" w:cs="仿宋"/>
                <w:color w:val="000000"/>
                <w:sz w:val="24"/>
                <w:u w:val="single"/>
              </w:rPr>
              <w:t>城乡规划编制资质乙级</w:t>
            </w:r>
            <w:r>
              <w:rPr>
                <w:rFonts w:hint="eastAsia" w:ascii="仿宋" w:hAnsi="仿宋" w:eastAsia="仿宋" w:cs="仿宋"/>
                <w:color w:val="000000"/>
                <w:sz w:val="24"/>
              </w:rPr>
              <w:t>及以上</w:t>
            </w:r>
            <w:r>
              <w:rPr>
                <w:rFonts w:ascii="仿宋" w:hAnsi="仿宋" w:eastAsia="仿宋" w:cs="仿宋"/>
                <w:sz w:val="24"/>
              </w:rPr>
              <w:t>资质，资质证书处于有效期。</w:t>
            </w:r>
          </w:p>
        </w:tc>
      </w:tr>
      <w:tr w14:paraId="76C268EF">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3695EE2">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vAlign w:val="center"/>
          </w:tcPr>
          <w:p w14:paraId="0711B67A">
            <w:pPr>
              <w:widowControl/>
              <w:spacing w:line="480" w:lineRule="exact"/>
              <w:jc w:val="center"/>
              <w:rPr>
                <w:rFonts w:ascii="仿宋" w:hAnsi="仿宋" w:eastAsia="仿宋" w:cs="仿宋"/>
                <w:sz w:val="24"/>
              </w:rPr>
            </w:pPr>
            <w:r>
              <w:rPr>
                <w:rFonts w:ascii="仿宋" w:hAnsi="仿宋" w:eastAsia="仿宋" w:cs="仿宋"/>
                <w:sz w:val="24"/>
              </w:rPr>
              <w:t>信誉要求</w:t>
            </w:r>
          </w:p>
        </w:tc>
        <w:tc>
          <w:tcPr>
            <w:tcW w:w="6887" w:type="dxa"/>
            <w:tcBorders>
              <w:top w:val="single" w:color="000000" w:sz="4" w:space="0"/>
              <w:left w:val="nil"/>
              <w:bottom w:val="single" w:color="000000" w:sz="4" w:space="0"/>
              <w:right w:val="single" w:color="000000" w:sz="4" w:space="0"/>
            </w:tcBorders>
            <w:vAlign w:val="center"/>
          </w:tcPr>
          <w:p w14:paraId="2FE51852">
            <w:pPr>
              <w:widowControl/>
              <w:spacing w:line="480" w:lineRule="exact"/>
              <w:rPr>
                <w:rFonts w:ascii="仿宋" w:hAnsi="仿宋" w:eastAsia="仿宋" w:cs="仿宋"/>
                <w:sz w:val="24"/>
                <w:u w:val="single"/>
              </w:rPr>
            </w:pPr>
            <w:r>
              <w:rPr>
                <w:rFonts w:ascii="仿宋" w:hAnsi="仿宋" w:eastAsia="仿宋" w:cs="仿宋"/>
                <w:sz w:val="24"/>
              </w:rPr>
              <w:t>近三年内，在经营活动中无不良</w:t>
            </w:r>
            <w:r>
              <w:rPr>
                <w:rFonts w:hint="eastAsia" w:ascii="仿宋" w:hAnsi="仿宋" w:eastAsia="仿宋" w:cs="仿宋"/>
                <w:sz w:val="24"/>
              </w:rPr>
              <w:t>行为</w:t>
            </w:r>
            <w:r>
              <w:rPr>
                <w:rFonts w:ascii="仿宋" w:hAnsi="仿宋" w:eastAsia="仿宋" w:cs="仿宋"/>
                <w:sz w:val="24"/>
              </w:rPr>
              <w:t>记录</w:t>
            </w:r>
            <w:r>
              <w:rPr>
                <w:rFonts w:hint="eastAsia" w:ascii="仿宋" w:hAnsi="仿宋" w:eastAsia="仿宋" w:cs="仿宋"/>
                <w:sz w:val="24"/>
              </w:rPr>
              <w:t>（包括行政处罚、经营异常、严重失信等均视为不良行为记录）</w:t>
            </w:r>
            <w:r>
              <w:rPr>
                <w:rFonts w:ascii="仿宋" w:hAnsi="仿宋" w:eastAsia="仿宋" w:cs="仿宋"/>
                <w:sz w:val="24"/>
              </w:rPr>
              <w:t>。</w:t>
            </w:r>
          </w:p>
        </w:tc>
      </w:tr>
      <w:tr w14:paraId="38687A44">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E358CEA">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3EC63178">
            <w:pPr>
              <w:widowControl/>
              <w:spacing w:line="480" w:lineRule="exact"/>
              <w:jc w:val="center"/>
              <w:rPr>
                <w:rFonts w:ascii="仿宋" w:hAnsi="仿宋" w:eastAsia="仿宋" w:cs="仿宋"/>
                <w:sz w:val="24"/>
              </w:rPr>
            </w:pPr>
            <w:r>
              <w:rPr>
                <w:rFonts w:ascii="仿宋" w:hAnsi="仿宋" w:eastAsia="仿宋" w:cs="仿宋"/>
                <w:sz w:val="24"/>
              </w:rPr>
              <w:t>关联要求</w:t>
            </w:r>
          </w:p>
        </w:tc>
        <w:tc>
          <w:tcPr>
            <w:tcW w:w="6887" w:type="dxa"/>
            <w:tcBorders>
              <w:top w:val="single" w:color="000000" w:sz="4" w:space="0"/>
              <w:left w:val="nil"/>
              <w:bottom w:val="single" w:color="000000" w:sz="4" w:space="0"/>
              <w:right w:val="single" w:color="000000" w:sz="4" w:space="0"/>
            </w:tcBorders>
            <w:vAlign w:val="center"/>
          </w:tcPr>
          <w:p w14:paraId="61729B0F">
            <w:pPr>
              <w:adjustRightInd w:val="0"/>
              <w:snapToGrid w:val="0"/>
              <w:spacing w:line="560" w:lineRule="exact"/>
              <w:jc w:val="left"/>
              <w:rPr>
                <w:rFonts w:ascii="仿宋" w:hAnsi="仿宋" w:eastAsia="仿宋" w:cs="仿宋"/>
                <w:sz w:val="24"/>
                <w:u w:val="single"/>
              </w:rPr>
            </w:pPr>
            <w:r>
              <w:rPr>
                <w:rFonts w:ascii="仿宋" w:hAnsi="仿宋" w:eastAsia="仿宋" w:cs="仿宋"/>
                <w:sz w:val="24"/>
              </w:rPr>
              <w:t>参选单位法定代表人</w:t>
            </w:r>
            <w:r>
              <w:rPr>
                <w:rFonts w:hint="eastAsia" w:ascii="仿宋" w:hAnsi="仿宋" w:eastAsia="仿宋" w:cs="仿宋"/>
                <w:sz w:val="24"/>
              </w:rPr>
              <w:t>或负责人</w:t>
            </w:r>
            <w:r>
              <w:rPr>
                <w:rFonts w:ascii="仿宋" w:hAnsi="仿宋" w:eastAsia="仿宋" w:cs="仿宋"/>
                <w:sz w:val="24"/>
              </w:rPr>
              <w:t>为同一人或者存在控股、管理关系的不同参选人，不得同时参加本次比选。</w:t>
            </w:r>
          </w:p>
        </w:tc>
      </w:tr>
      <w:tr w14:paraId="1C378376">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5BD702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tcPr>
          <w:p w14:paraId="6BF5B5DC">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38DCAA3E">
            <w:pPr>
              <w:widowControl/>
              <w:spacing w:line="480" w:lineRule="exact"/>
              <w:rPr>
                <w:rFonts w:ascii="仿宋" w:hAnsi="仿宋" w:eastAsia="仿宋" w:cs="仿宋"/>
                <w:kern w:val="0"/>
                <w:sz w:val="24"/>
              </w:rPr>
            </w:pP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hint="eastAsia" w:ascii="仿宋" w:hAnsi="仿宋" w:eastAsia="仿宋" w:cs="仿宋"/>
                <w:kern w:val="0"/>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12</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4</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2698B1F5">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F8D895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6F96037A">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0BE3232E">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66E2D19F">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4F4DC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6FB0342F">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48A2A861">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4D063C7C">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310F30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0FD995B4">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2E51E577">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300B368E">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10D8DF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1E9202DA">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055CC589">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7656F02F">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54445DB4">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EE657A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11C95DC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20BBA495">
            <w:pPr>
              <w:widowControl/>
              <w:spacing w:line="480" w:lineRule="exact"/>
              <w:rPr>
                <w:rFonts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06AA4E44">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A2256F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70CA4E2C">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480D2482">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33DBBBF0">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76374098">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15000</w:t>
            </w:r>
            <w:r>
              <w:rPr>
                <w:rFonts w:hint="eastAsia" w:ascii="仿宋" w:hAnsi="仿宋" w:eastAsia="仿宋" w:cs="仿宋"/>
                <w:kern w:val="0"/>
                <w:sz w:val="24"/>
              </w:rPr>
              <w:t>元。</w:t>
            </w:r>
          </w:p>
          <w:p w14:paraId="0B455AD2">
            <w:pPr>
              <w:widowControl/>
              <w:spacing w:line="480" w:lineRule="exact"/>
              <w:jc w:val="left"/>
              <w:rPr>
                <w:rFonts w:ascii="仿宋" w:hAnsi="仿宋" w:eastAsia="仿宋" w:cs="仿宋"/>
                <w:kern w:val="0"/>
                <w:sz w:val="24"/>
              </w:rPr>
            </w:pPr>
            <w:r>
              <w:rPr>
                <w:rFonts w:hint="eastAsia" w:ascii="仿宋" w:hAnsi="仿宋" w:eastAsia="仿宋" w:cs="仿宋"/>
                <w:kern w:val="0"/>
                <w:sz w:val="24"/>
              </w:rPr>
              <w:t>3.投标保函有效期起止时间应能覆盖比选有效期起止时间，投标保函担保的项目名称应与比选的项目名称保持一致，受益人名称应与比选人单位名称保持一致。</w:t>
            </w:r>
          </w:p>
        </w:tc>
      </w:tr>
      <w:tr w14:paraId="0EA5C9C2">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02722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0E4CB1EE">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1689A95E">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1292B6D7">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08178B8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AA4C90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199DD058">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07E9C749">
            <w:pPr>
              <w:widowControl/>
              <w:spacing w:line="480" w:lineRule="exact"/>
              <w:rPr>
                <w:rFonts w:ascii="仿宋" w:hAnsi="仿宋" w:eastAsia="仿宋" w:cs="仿宋"/>
                <w:kern w:val="0"/>
                <w:sz w:val="24"/>
              </w:rPr>
            </w:pPr>
            <w:r>
              <w:rPr>
                <w:rFonts w:hint="eastAsia" w:ascii="仿宋" w:hAnsi="仿宋" w:eastAsia="仿宋" w:cs="仿宋"/>
                <w:kern w:val="0"/>
                <w:sz w:val="24"/>
              </w:rPr>
              <w:t>综合评分法</w:t>
            </w:r>
          </w:p>
        </w:tc>
      </w:tr>
      <w:tr w14:paraId="281DA962">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5F4AFE">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vAlign w:val="center"/>
          </w:tcPr>
          <w:p w14:paraId="7088A28C">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20348210">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0A1199B5">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716950.00</w:t>
            </w:r>
            <w:r>
              <w:rPr>
                <w:rFonts w:hint="eastAsia" w:ascii="仿宋" w:hAnsi="仿宋" w:eastAsia="仿宋" w:cs="仿宋"/>
                <w:kern w:val="0"/>
                <w:sz w:val="24"/>
              </w:rPr>
              <w:t xml:space="preserve">元。       </w:t>
            </w:r>
          </w:p>
        </w:tc>
      </w:tr>
      <w:tr w14:paraId="298E6334">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B06CA5">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vAlign w:val="center"/>
          </w:tcPr>
          <w:p w14:paraId="752871C3">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6971A332">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6092ABC3">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64F9A9F1">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FAEA0">
            <w:pPr>
              <w:widowControl/>
              <w:spacing w:line="480" w:lineRule="exact"/>
              <w:jc w:val="center"/>
              <w:rPr>
                <w:rFonts w:ascii="仿宋" w:hAnsi="仿宋" w:eastAsia="仿宋" w:cs="仿宋"/>
                <w:kern w:val="0"/>
                <w:sz w:val="24"/>
              </w:rPr>
            </w:pPr>
            <w:r>
              <w:rPr>
                <w:rFonts w:hint="eastAsia" w:ascii="仿宋" w:hAnsi="仿宋" w:eastAsia="仿宋" w:cs="仿宋"/>
                <w:kern w:val="0"/>
                <w:sz w:val="24"/>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5AA2250E">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1324F99F">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r w14:paraId="0A83DABF">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7581">
            <w:pPr>
              <w:widowControl/>
              <w:spacing w:line="480" w:lineRule="exact"/>
              <w:jc w:val="center"/>
              <w:rPr>
                <w:rFonts w:ascii="仿宋" w:hAnsi="仿宋" w:eastAsia="仿宋" w:cs="仿宋"/>
                <w:kern w:val="0"/>
                <w:sz w:val="24"/>
              </w:rPr>
            </w:pPr>
            <w:r>
              <w:rPr>
                <w:rFonts w:hint="eastAsia" w:ascii="仿宋" w:hAnsi="仿宋" w:eastAsia="仿宋" w:cs="仿宋"/>
                <w:kern w:val="0"/>
                <w:sz w:val="24"/>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0C729E65">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7AE3479">
            <w:pPr>
              <w:widowControl/>
              <w:spacing w:line="480" w:lineRule="exact"/>
              <w:rPr>
                <w:rFonts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622C9569">
      <w:pPr>
        <w:widowControl/>
        <w:spacing w:line="480" w:lineRule="exact"/>
        <w:ind w:firstLine="703" w:firstLineChars="200"/>
        <w:jc w:val="left"/>
        <w:rPr>
          <w:rFonts w:ascii="黑体" w:hAnsi="黑体" w:eastAsia="黑体" w:cs="黑体"/>
          <w:b/>
          <w:spacing w:val="15"/>
          <w:kern w:val="0"/>
          <w:sz w:val="32"/>
          <w:szCs w:val="32"/>
        </w:rPr>
      </w:pPr>
    </w:p>
    <w:p w14:paraId="53074765">
      <w:pPr>
        <w:widowControl/>
        <w:spacing w:line="480" w:lineRule="exact"/>
        <w:ind w:firstLine="703" w:firstLineChars="200"/>
        <w:jc w:val="left"/>
        <w:rPr>
          <w:rFonts w:ascii="黑体" w:hAnsi="黑体" w:eastAsia="黑体" w:cs="黑体"/>
          <w:b/>
          <w:spacing w:val="15"/>
          <w:kern w:val="0"/>
          <w:sz w:val="32"/>
          <w:szCs w:val="32"/>
        </w:rPr>
      </w:pPr>
    </w:p>
    <w:p w14:paraId="5C1DADDF">
      <w:pPr>
        <w:widowControl/>
        <w:spacing w:line="480" w:lineRule="exact"/>
        <w:ind w:firstLine="703" w:firstLineChars="200"/>
        <w:jc w:val="left"/>
        <w:rPr>
          <w:rFonts w:ascii="黑体" w:hAnsi="黑体" w:eastAsia="黑体" w:cs="黑体"/>
          <w:b/>
          <w:spacing w:val="15"/>
          <w:kern w:val="0"/>
          <w:sz w:val="32"/>
          <w:szCs w:val="32"/>
        </w:rPr>
      </w:pPr>
    </w:p>
    <w:p w14:paraId="0112BFCB">
      <w:pPr>
        <w:widowControl/>
        <w:spacing w:line="480" w:lineRule="exact"/>
        <w:ind w:firstLine="703" w:firstLineChars="200"/>
        <w:jc w:val="left"/>
        <w:rPr>
          <w:rFonts w:ascii="黑体" w:hAnsi="黑体" w:eastAsia="黑体" w:cs="黑体"/>
          <w:b/>
          <w:spacing w:val="15"/>
          <w:kern w:val="0"/>
          <w:sz w:val="32"/>
          <w:szCs w:val="32"/>
        </w:rPr>
      </w:pPr>
    </w:p>
    <w:p w14:paraId="284BC97E">
      <w:pPr>
        <w:widowControl/>
        <w:spacing w:line="480" w:lineRule="exact"/>
        <w:ind w:firstLine="703" w:firstLineChars="200"/>
        <w:jc w:val="left"/>
        <w:rPr>
          <w:rFonts w:ascii="黑体" w:hAnsi="黑体" w:eastAsia="黑体" w:cs="黑体"/>
          <w:b/>
          <w:spacing w:val="15"/>
          <w:kern w:val="0"/>
          <w:sz w:val="32"/>
          <w:szCs w:val="32"/>
        </w:rPr>
      </w:pPr>
    </w:p>
    <w:p w14:paraId="77F50185">
      <w:pPr>
        <w:widowControl/>
        <w:spacing w:line="480" w:lineRule="exact"/>
        <w:ind w:firstLine="703" w:firstLineChars="200"/>
        <w:jc w:val="left"/>
        <w:rPr>
          <w:rFonts w:ascii="黑体" w:hAnsi="黑体" w:eastAsia="黑体" w:cs="黑体"/>
          <w:b/>
          <w:spacing w:val="15"/>
          <w:kern w:val="0"/>
          <w:sz w:val="32"/>
          <w:szCs w:val="32"/>
        </w:rPr>
      </w:pPr>
    </w:p>
    <w:p w14:paraId="40423ED4">
      <w:pPr>
        <w:widowControl/>
        <w:spacing w:line="480" w:lineRule="exact"/>
        <w:ind w:firstLine="703" w:firstLineChars="200"/>
        <w:jc w:val="left"/>
        <w:rPr>
          <w:rFonts w:ascii="黑体" w:hAnsi="黑体" w:eastAsia="黑体" w:cs="黑体"/>
          <w:b/>
          <w:spacing w:val="15"/>
          <w:kern w:val="0"/>
          <w:sz w:val="32"/>
          <w:szCs w:val="32"/>
        </w:rPr>
      </w:pPr>
    </w:p>
    <w:p w14:paraId="7AA5B97B">
      <w:pPr>
        <w:widowControl/>
        <w:spacing w:line="480" w:lineRule="exact"/>
        <w:ind w:firstLine="703" w:firstLineChars="200"/>
        <w:jc w:val="left"/>
        <w:rPr>
          <w:rFonts w:ascii="黑体" w:hAnsi="黑体" w:eastAsia="黑体" w:cs="黑体"/>
          <w:b/>
          <w:spacing w:val="15"/>
          <w:kern w:val="0"/>
          <w:sz w:val="32"/>
          <w:szCs w:val="32"/>
        </w:rPr>
      </w:pPr>
    </w:p>
    <w:p w14:paraId="1EEE7FBE">
      <w:pPr>
        <w:widowControl/>
        <w:spacing w:line="480" w:lineRule="exact"/>
        <w:ind w:firstLine="703" w:firstLineChars="200"/>
        <w:jc w:val="left"/>
        <w:rPr>
          <w:rFonts w:ascii="黑体" w:hAnsi="黑体" w:eastAsia="黑体" w:cs="黑体"/>
          <w:b/>
          <w:spacing w:val="15"/>
          <w:kern w:val="0"/>
          <w:sz w:val="32"/>
          <w:szCs w:val="32"/>
        </w:rPr>
      </w:pPr>
    </w:p>
    <w:p w14:paraId="7C578467">
      <w:pPr>
        <w:widowControl/>
        <w:spacing w:line="480" w:lineRule="exact"/>
        <w:ind w:firstLine="703" w:firstLineChars="200"/>
        <w:jc w:val="left"/>
        <w:rPr>
          <w:rFonts w:ascii="黑体" w:hAnsi="黑体" w:eastAsia="黑体" w:cs="黑体"/>
          <w:b/>
          <w:spacing w:val="15"/>
          <w:kern w:val="0"/>
          <w:sz w:val="32"/>
          <w:szCs w:val="32"/>
        </w:rPr>
      </w:pPr>
    </w:p>
    <w:p w14:paraId="0135125F">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26028571">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B9ED51A">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7BEB8E6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73D7D9C5">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275EFDAA">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03D31CA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49A9DA0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2322B8FE">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080B3C8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有下列情形之一的，投标保证金不予退还，比选人有权向出具保函的银行或担保公司提出索赔：</w:t>
      </w:r>
    </w:p>
    <w:p w14:paraId="379FD9D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500550D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68C772D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47DAB84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66D35B1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52936D58">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52454188">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260EB7DE">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0A23D848">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5D028CC4">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4E91FC2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比选人重新比选后，再次发生上述情形之一的，比选人可不再进行比选。</w:t>
      </w:r>
    </w:p>
    <w:p w14:paraId="6D3CA4E2">
      <w:pPr>
        <w:widowControl/>
        <w:spacing w:line="480" w:lineRule="exact"/>
        <w:ind w:firstLine="620" w:firstLineChars="200"/>
        <w:rPr>
          <w:rFonts w:ascii="仿宋" w:hAnsi="仿宋" w:eastAsia="仿宋"/>
          <w:spacing w:val="15"/>
          <w:kern w:val="0"/>
          <w:sz w:val="28"/>
          <w:szCs w:val="28"/>
        </w:rPr>
      </w:pPr>
    </w:p>
    <w:p w14:paraId="036C641B">
      <w:pPr>
        <w:widowControl/>
        <w:spacing w:line="480" w:lineRule="exact"/>
        <w:ind w:firstLine="643" w:firstLineChars="200"/>
        <w:rPr>
          <w:rFonts w:ascii="黑体" w:hAnsi="黑体" w:eastAsia="黑体" w:cs="黑体"/>
          <w:b/>
          <w:bCs/>
          <w:kern w:val="0"/>
          <w:sz w:val="32"/>
          <w:szCs w:val="32"/>
        </w:rPr>
      </w:pPr>
    </w:p>
    <w:p w14:paraId="51E68121">
      <w:pPr>
        <w:widowControl/>
        <w:spacing w:line="480" w:lineRule="exact"/>
        <w:ind w:firstLine="643" w:firstLineChars="200"/>
        <w:rPr>
          <w:rFonts w:ascii="黑体" w:hAnsi="黑体" w:eastAsia="黑体" w:cs="黑体"/>
          <w:b/>
          <w:bCs/>
          <w:kern w:val="0"/>
          <w:sz w:val="32"/>
          <w:szCs w:val="32"/>
        </w:rPr>
      </w:pPr>
    </w:p>
    <w:p w14:paraId="6870C42D">
      <w:pPr>
        <w:widowControl/>
        <w:spacing w:line="480" w:lineRule="exact"/>
        <w:ind w:firstLine="643" w:firstLineChars="200"/>
        <w:rPr>
          <w:rFonts w:ascii="黑体" w:hAnsi="黑体" w:eastAsia="黑体" w:cs="黑体"/>
          <w:b/>
          <w:bCs/>
          <w:kern w:val="0"/>
          <w:sz w:val="32"/>
          <w:szCs w:val="32"/>
        </w:rPr>
      </w:pPr>
    </w:p>
    <w:p w14:paraId="5B2FCE5F">
      <w:pPr>
        <w:widowControl/>
        <w:spacing w:line="480" w:lineRule="exact"/>
        <w:ind w:firstLine="643" w:firstLineChars="200"/>
        <w:rPr>
          <w:rFonts w:ascii="黑体" w:hAnsi="黑体" w:eastAsia="黑体" w:cs="黑体"/>
          <w:b/>
          <w:bCs/>
          <w:kern w:val="0"/>
          <w:sz w:val="32"/>
          <w:szCs w:val="32"/>
        </w:rPr>
      </w:pPr>
    </w:p>
    <w:p w14:paraId="768DBEAA">
      <w:pPr>
        <w:widowControl/>
        <w:spacing w:line="480" w:lineRule="exact"/>
        <w:ind w:firstLine="643" w:firstLineChars="200"/>
        <w:rPr>
          <w:rFonts w:ascii="黑体" w:hAnsi="黑体" w:eastAsia="黑体" w:cs="黑体"/>
          <w:b/>
          <w:bCs/>
          <w:kern w:val="0"/>
          <w:sz w:val="32"/>
          <w:szCs w:val="32"/>
        </w:rPr>
      </w:pPr>
    </w:p>
    <w:p w14:paraId="0AF222D5">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44C421C2">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51F951D7">
      <w:pPr>
        <w:widowControl/>
        <w:spacing w:line="480" w:lineRule="exact"/>
        <w:rPr>
          <w:rFonts w:ascii="仿宋" w:hAnsi="仿宋" w:eastAsia="仿宋"/>
          <w:spacing w:val="15"/>
          <w:kern w:val="0"/>
          <w:sz w:val="28"/>
          <w:szCs w:val="28"/>
        </w:rPr>
      </w:pPr>
    </w:p>
    <w:p w14:paraId="318B5905">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218714D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4C8437D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1F0A26C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057BE44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3C5D6C7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78701B9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6.资格评审文件（符合参选人须知前附表7资格要求的相关证明文件，按附件6格式）</w:t>
      </w:r>
    </w:p>
    <w:p w14:paraId="00265B2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（1）营业执照复印件，并加盖参选单位公章。</w:t>
      </w:r>
    </w:p>
    <w:p w14:paraId="0226DC3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（2）资质证书复印件，并加盖参选单位公章。</w:t>
      </w:r>
    </w:p>
    <w:p w14:paraId="038E92E3">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1F28543C">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8.信誉要求：提供“信用中国”网站查询后下载信用信息报告自动生成的PDF文件。</w:t>
      </w:r>
    </w:p>
    <w:p w14:paraId="2C91C76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9.关联要求：提供企查查查询首页股东信息及主要人员信息截图。</w:t>
      </w:r>
    </w:p>
    <w:p w14:paraId="164E632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10.详细评审所需文件（对照第四章评分办法中详细评审的评分要求，按评审因素先后顺序提供）。</w:t>
      </w:r>
    </w:p>
    <w:p w14:paraId="56FA6B76">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22A5660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1.参选文件须装订成册并编制目录及页码。</w:t>
      </w:r>
    </w:p>
    <w:p w14:paraId="5C6BEF1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2.参选文件均须打印或用不褪色的书写工具书写，字迹工整，任何一页不得涂改、插字、删字。</w:t>
      </w:r>
    </w:p>
    <w:p w14:paraId="56CCBFE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3.参选文件份数。参选文件共肆份，正本1份，副本2份，电子文档1份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543866C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装袋后应进行密封、封口应粘贴封口条，由参选人法定代表人或授权委托人签字并加盖参选单位公章。如果参选文件没有按上述要求密封，比选人将不承担参选文件错放或提前开封的责任，参选文件将予以拒绝。</w:t>
      </w:r>
    </w:p>
    <w:p w14:paraId="5E14A4B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5.比选有效期为提交参选文件截止之日起60天，在此期限内，凡符合比选公告和比选文件的参选文件均保持有效。本次参选文件资料均不退还。</w:t>
      </w:r>
    </w:p>
    <w:p w14:paraId="4E7651C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0D5CBA4E">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39E13641">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67E5E616">
      <w:pPr>
        <w:widowControl/>
        <w:spacing w:line="480" w:lineRule="exact"/>
        <w:jc w:val="center"/>
        <w:rPr>
          <w:rFonts w:ascii="宋体" w:hAnsi="宋体"/>
          <w:b/>
          <w:bCs/>
          <w:kern w:val="0"/>
          <w:sz w:val="44"/>
          <w:szCs w:val="44"/>
        </w:rPr>
      </w:pPr>
    </w:p>
    <w:p w14:paraId="2DBC9605">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31D405D4">
      <w:pPr>
        <w:widowControl/>
        <w:spacing w:line="480" w:lineRule="exact"/>
        <w:rPr>
          <w:rFonts w:ascii="仿宋" w:hAnsi="仿宋" w:eastAsia="仿宋"/>
          <w:kern w:val="0"/>
          <w:sz w:val="28"/>
          <w:szCs w:val="28"/>
        </w:rPr>
      </w:pPr>
    </w:p>
    <w:p w14:paraId="17598EBC">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衡阳纺织机械厂地块产业策划和城市更新规划编制</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5A4CA03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6C250BD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衡阳纺织机械厂地块产业策划和城市更新规划</w:t>
      </w:r>
      <w:r>
        <w:rPr>
          <w:rFonts w:hint="eastAsia" w:ascii="仿宋" w:hAnsi="仿宋" w:eastAsia="仿宋"/>
          <w:kern w:val="0"/>
          <w:sz w:val="28"/>
          <w:szCs w:val="28"/>
        </w:rPr>
        <w:t>服务任务。</w:t>
      </w:r>
    </w:p>
    <w:p w14:paraId="5747F4E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衡阳纺织机械厂地块产业策划和城市更新规划 </w:t>
      </w:r>
      <w:r>
        <w:rPr>
          <w:rFonts w:hint="eastAsia" w:ascii="仿宋" w:hAnsi="仿宋" w:eastAsia="仿宋"/>
          <w:kern w:val="0"/>
          <w:sz w:val="28"/>
          <w:szCs w:val="28"/>
        </w:rPr>
        <w:t>服务工作结束前，遵守本比选文件的承诺，且在此期限内具有约束力。</w:t>
      </w:r>
    </w:p>
    <w:p w14:paraId="0E1F9291">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1D9C9AD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24F39BD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3E72D2B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10A8FE4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657E88B5">
      <w:pPr>
        <w:widowControl/>
        <w:spacing w:line="480" w:lineRule="exact"/>
        <w:ind w:firstLine="3209"/>
        <w:rPr>
          <w:rFonts w:ascii="仿宋" w:hAnsi="仿宋" w:eastAsia="仿宋"/>
          <w:kern w:val="0"/>
          <w:sz w:val="28"/>
          <w:szCs w:val="28"/>
        </w:rPr>
      </w:pPr>
    </w:p>
    <w:p w14:paraId="1186929F">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3DA1A778">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5F404940">
      <w:pPr>
        <w:widowControl/>
        <w:spacing w:line="480" w:lineRule="exact"/>
        <w:ind w:firstLine="4346"/>
        <w:rPr>
          <w:rFonts w:ascii="仿宋" w:hAnsi="仿宋" w:eastAsia="仿宋"/>
          <w:kern w:val="0"/>
          <w:sz w:val="32"/>
          <w:szCs w:val="32"/>
        </w:rPr>
      </w:pPr>
    </w:p>
    <w:p w14:paraId="5B3CE725">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7C99619F">
      <w:pPr>
        <w:spacing w:line="480" w:lineRule="exact"/>
        <w:rPr>
          <w:rFonts w:ascii="宋体" w:hAnsi="宋体"/>
          <w:b/>
          <w:bCs/>
          <w:kern w:val="0"/>
          <w:sz w:val="28"/>
          <w:szCs w:val="28"/>
        </w:rPr>
      </w:pPr>
      <w:r>
        <w:rPr>
          <w:rFonts w:hint="eastAsia" w:ascii="宋体" w:hAnsi="宋体"/>
          <w:b/>
          <w:bCs/>
          <w:kern w:val="0"/>
          <w:sz w:val="28"/>
          <w:szCs w:val="28"/>
        </w:rPr>
        <w:br w:type="page"/>
      </w:r>
    </w:p>
    <w:p w14:paraId="76B384A4">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22782524">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074716A6">
      <w:pPr>
        <w:widowControl/>
        <w:spacing w:line="480" w:lineRule="exact"/>
        <w:jc w:val="left"/>
        <w:rPr>
          <w:rFonts w:ascii="仿宋" w:hAnsi="仿宋" w:eastAsia="仿宋"/>
          <w:kern w:val="0"/>
          <w:sz w:val="24"/>
        </w:rPr>
      </w:pPr>
    </w:p>
    <w:p w14:paraId="7B2C15B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衡阳纺织机械厂地块产业策划和城市更新规划</w:t>
      </w:r>
      <w:r>
        <w:rPr>
          <w:rFonts w:hint="eastAsia" w:ascii="仿宋" w:hAnsi="仿宋" w:eastAsia="仿宋"/>
          <w:kern w:val="0"/>
          <w:sz w:val="28"/>
          <w:szCs w:val="28"/>
        </w:rPr>
        <w:t>服务业务。</w:t>
      </w:r>
    </w:p>
    <w:p w14:paraId="35C3C07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08102E8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7F01EA2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31F6C0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46DBAA9C">
      <w:pPr>
        <w:widowControl/>
        <w:spacing w:line="480" w:lineRule="exact"/>
        <w:jc w:val="left"/>
        <w:rPr>
          <w:rFonts w:ascii="仿宋" w:hAnsi="仿宋" w:eastAsia="仿宋"/>
          <w:kern w:val="0"/>
          <w:sz w:val="28"/>
          <w:szCs w:val="28"/>
        </w:rPr>
      </w:pPr>
    </w:p>
    <w:p w14:paraId="0AE5E82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5F9F63D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6E885CB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52BE6C4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71046E2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09C9366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7124F030">
      <w:pPr>
        <w:widowControl/>
        <w:spacing w:line="480" w:lineRule="exact"/>
        <w:jc w:val="left"/>
        <w:rPr>
          <w:rFonts w:ascii="仿宋" w:hAnsi="仿宋" w:eastAsia="仿宋"/>
          <w:kern w:val="0"/>
          <w:sz w:val="28"/>
          <w:szCs w:val="28"/>
        </w:rPr>
      </w:pPr>
    </w:p>
    <w:p w14:paraId="5F7BBF1A">
      <w:pPr>
        <w:pStyle w:val="19"/>
        <w:ind w:firstLine="400"/>
      </w:pPr>
    </w:p>
    <w:p w14:paraId="4F2C948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23ABB412">
      <w:pPr>
        <w:widowControl/>
        <w:spacing w:line="480" w:lineRule="exact"/>
        <w:ind w:firstLine="420"/>
        <w:jc w:val="left"/>
        <w:rPr>
          <w:kern w:val="0"/>
          <w:szCs w:val="21"/>
        </w:rPr>
      </w:pPr>
    </w:p>
    <w:p w14:paraId="1C5B29E2">
      <w:pPr>
        <w:widowControl/>
        <w:spacing w:line="480" w:lineRule="exact"/>
        <w:ind w:firstLine="420"/>
        <w:jc w:val="left"/>
        <w:rPr>
          <w:kern w:val="0"/>
          <w:szCs w:val="21"/>
        </w:rPr>
      </w:pPr>
    </w:p>
    <w:p w14:paraId="7D0EB479">
      <w:pPr>
        <w:widowControl/>
        <w:spacing w:line="480" w:lineRule="exact"/>
        <w:ind w:firstLine="420"/>
        <w:jc w:val="left"/>
        <w:rPr>
          <w:kern w:val="0"/>
          <w:szCs w:val="21"/>
        </w:rPr>
      </w:pPr>
    </w:p>
    <w:p w14:paraId="22127645">
      <w:pPr>
        <w:pStyle w:val="7"/>
        <w:ind w:firstLine="0"/>
      </w:pPr>
    </w:p>
    <w:p w14:paraId="2178AEEB">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20E57960">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00099A14">
      <w:pPr>
        <w:adjustRightInd w:val="0"/>
        <w:snapToGrid w:val="0"/>
        <w:spacing w:line="360" w:lineRule="auto"/>
        <w:rPr>
          <w:rFonts w:ascii="仿宋_GB2312" w:hAnsi="华文仿宋" w:eastAsia="仿宋_GB2312"/>
          <w:sz w:val="28"/>
          <w:szCs w:val="28"/>
        </w:rPr>
      </w:pPr>
    </w:p>
    <w:p w14:paraId="255E7FDC">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5B421BD4">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DFC4F0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BE9734F">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EFC204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rPr>
        <w:t>的法定代表人。</w:t>
      </w:r>
    </w:p>
    <w:p w14:paraId="78BD62E8">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20"/>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185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4E6E2D74">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3DF187BF">
      <w:pPr>
        <w:adjustRightInd w:val="0"/>
        <w:snapToGrid w:val="0"/>
        <w:spacing w:line="360" w:lineRule="auto"/>
        <w:rPr>
          <w:rFonts w:ascii="仿宋" w:hAnsi="仿宋" w:eastAsia="仿宋" w:cs="仿宋"/>
          <w:sz w:val="28"/>
          <w:szCs w:val="28"/>
        </w:rPr>
      </w:pPr>
    </w:p>
    <w:p w14:paraId="479E3DC3">
      <w:pPr>
        <w:adjustRightInd w:val="0"/>
        <w:snapToGrid w:val="0"/>
        <w:spacing w:line="360" w:lineRule="auto"/>
        <w:rPr>
          <w:rFonts w:ascii="仿宋" w:hAnsi="仿宋" w:eastAsia="仿宋" w:cs="仿宋"/>
          <w:sz w:val="28"/>
          <w:szCs w:val="28"/>
        </w:rPr>
      </w:pPr>
    </w:p>
    <w:p w14:paraId="0F7E6913">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25AFA804">
      <w:pPr>
        <w:adjustRightInd w:val="0"/>
        <w:snapToGrid w:val="0"/>
        <w:spacing w:line="360" w:lineRule="auto"/>
        <w:ind w:firstLine="2511" w:firstLineChars="897"/>
        <w:rPr>
          <w:rFonts w:ascii="仿宋" w:hAnsi="仿宋" w:eastAsia="仿宋" w:cs="仿宋"/>
          <w:sz w:val="28"/>
          <w:szCs w:val="28"/>
        </w:rPr>
      </w:pPr>
    </w:p>
    <w:p w14:paraId="37B76090">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7FF71BFD">
      <w:pPr>
        <w:widowControl/>
        <w:topLinePunct/>
        <w:spacing w:line="620" w:lineRule="exact"/>
        <w:rPr>
          <w:rFonts w:ascii="仿宋" w:hAnsi="仿宋" w:eastAsia="仿宋" w:cs="仿宋"/>
          <w:kern w:val="0"/>
          <w:sz w:val="28"/>
          <w:szCs w:val="28"/>
        </w:rPr>
      </w:pPr>
    </w:p>
    <w:p w14:paraId="10D668EA">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2AC669AD">
      <w:pPr>
        <w:spacing w:line="480" w:lineRule="exact"/>
        <w:rPr>
          <w:rFonts w:ascii="宋体" w:hAnsi="宋体"/>
          <w:b/>
          <w:bCs/>
          <w:spacing w:val="15"/>
          <w:kern w:val="0"/>
          <w:sz w:val="28"/>
          <w:szCs w:val="28"/>
        </w:rPr>
      </w:pPr>
    </w:p>
    <w:p w14:paraId="2F7C116C">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4C3F8FBC">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72C342D4"/>
    <w:p w14:paraId="1A5134C5">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 xml:space="preserve">（地址） </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25B01212">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5ED62E62">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E8C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B880301">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0A699A4B">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1E6F084B">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79018E52">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29E7C5BA">
      <w:pPr>
        <w:pStyle w:val="2"/>
        <w:rPr>
          <w:rFonts w:ascii="仿宋" w:hAnsi="仿宋" w:eastAsia="仿宋" w:cs="仿宋"/>
          <w:sz w:val="28"/>
          <w:szCs w:val="28"/>
        </w:rPr>
      </w:pPr>
    </w:p>
    <w:p w14:paraId="2D027428">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4B2F5335">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6ABDB8D6">
      <w:pPr>
        <w:spacing w:line="480" w:lineRule="exact"/>
        <w:rPr>
          <w:rFonts w:ascii="宋体" w:hAnsi="宋体"/>
          <w:b/>
          <w:bCs/>
          <w:kern w:val="0"/>
          <w:sz w:val="28"/>
          <w:szCs w:val="28"/>
        </w:rPr>
      </w:pPr>
      <w:r>
        <w:rPr>
          <w:rFonts w:hint="eastAsia" w:ascii="宋体" w:hAnsi="宋体"/>
          <w:b/>
          <w:bCs/>
          <w:kern w:val="0"/>
          <w:sz w:val="28"/>
          <w:szCs w:val="28"/>
        </w:rPr>
        <w:br w:type="page"/>
      </w:r>
    </w:p>
    <w:p w14:paraId="7DF1B0A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6408BC01">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2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5CB4B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0C2362F3">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2EBCA1CF">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1CBD17BB">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6C77BF46">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DB04B0F">
            <w:pPr>
              <w:topLinePunct/>
              <w:spacing w:line="440" w:lineRule="exact"/>
              <w:jc w:val="center"/>
              <w:rPr>
                <w:rFonts w:ascii="仿宋" w:hAnsi="仿宋" w:eastAsia="仿宋" w:cs="仿宋"/>
                <w:sz w:val="24"/>
              </w:rPr>
            </w:pPr>
          </w:p>
        </w:tc>
      </w:tr>
      <w:tr w14:paraId="730C1A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01B45AA">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659765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35A7772">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2D1355B6">
            <w:pPr>
              <w:topLinePunct/>
              <w:spacing w:line="440" w:lineRule="exact"/>
              <w:jc w:val="center"/>
              <w:rPr>
                <w:rFonts w:ascii="仿宋" w:hAnsi="仿宋" w:eastAsia="仿宋" w:cs="仿宋"/>
                <w:sz w:val="24"/>
              </w:rPr>
            </w:pPr>
          </w:p>
        </w:tc>
      </w:tr>
      <w:tr w14:paraId="5A8A40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0620FAC">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696FA87E">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8296CE2">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301205D">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0AA3B95">
            <w:pPr>
              <w:topLinePunct/>
              <w:spacing w:line="440" w:lineRule="exact"/>
              <w:jc w:val="center"/>
              <w:rPr>
                <w:rFonts w:ascii="仿宋" w:hAnsi="仿宋" w:eastAsia="仿宋" w:cs="仿宋"/>
                <w:sz w:val="24"/>
              </w:rPr>
            </w:pPr>
          </w:p>
        </w:tc>
      </w:tr>
      <w:tr w14:paraId="16E19F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3D6C979">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0FDA362">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F6C09C0">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E043B24">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2AFEACD3">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43D6E5E">
            <w:pPr>
              <w:topLinePunct/>
              <w:spacing w:line="440" w:lineRule="exact"/>
              <w:jc w:val="center"/>
              <w:rPr>
                <w:rFonts w:ascii="仿宋" w:hAnsi="仿宋" w:eastAsia="仿宋" w:cs="仿宋"/>
                <w:sz w:val="24"/>
              </w:rPr>
            </w:pPr>
          </w:p>
        </w:tc>
      </w:tr>
      <w:tr w14:paraId="705100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D570ADF">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BDC6930">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D26160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B745FB3">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B7D0594">
            <w:pPr>
              <w:topLinePunct/>
              <w:spacing w:line="440" w:lineRule="exact"/>
              <w:ind w:firstLine="120" w:firstLineChars="50"/>
              <w:jc w:val="center"/>
              <w:rPr>
                <w:rFonts w:ascii="仿宋" w:hAnsi="仿宋" w:eastAsia="仿宋" w:cs="仿宋"/>
                <w:sz w:val="24"/>
              </w:rPr>
            </w:pPr>
          </w:p>
        </w:tc>
      </w:tr>
      <w:tr w14:paraId="25AF7D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D24D8F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F01EE3F">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E198E85">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1B4E6FE">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3EBEC6A">
            <w:pPr>
              <w:topLinePunct/>
              <w:spacing w:line="440" w:lineRule="exact"/>
              <w:ind w:firstLine="120" w:firstLineChars="50"/>
              <w:jc w:val="center"/>
              <w:rPr>
                <w:rFonts w:ascii="仿宋" w:hAnsi="仿宋" w:eastAsia="仿宋" w:cs="仿宋"/>
                <w:sz w:val="24"/>
              </w:rPr>
            </w:pPr>
          </w:p>
        </w:tc>
      </w:tr>
      <w:tr w14:paraId="04D3D7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34D212A">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1973AF0">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FDB5220">
            <w:pPr>
              <w:topLinePunct/>
              <w:spacing w:line="440" w:lineRule="exact"/>
              <w:ind w:firstLine="120" w:firstLineChars="50"/>
              <w:jc w:val="center"/>
              <w:rPr>
                <w:rFonts w:ascii="仿宋" w:hAnsi="仿宋" w:eastAsia="仿宋" w:cs="仿宋"/>
                <w:sz w:val="24"/>
              </w:rPr>
            </w:pPr>
          </w:p>
        </w:tc>
      </w:tr>
      <w:tr w14:paraId="646A1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E249473">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3B9F214">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9F5A644">
            <w:pPr>
              <w:topLinePunct/>
              <w:spacing w:line="440" w:lineRule="exact"/>
              <w:ind w:firstLine="120" w:firstLineChars="50"/>
              <w:jc w:val="center"/>
              <w:rPr>
                <w:rFonts w:ascii="仿宋" w:hAnsi="仿宋" w:eastAsia="仿宋" w:cs="仿宋"/>
                <w:sz w:val="24"/>
              </w:rPr>
            </w:pPr>
          </w:p>
        </w:tc>
      </w:tr>
      <w:tr w14:paraId="3D2DB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2A5EE7D">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0F65A1E">
            <w:pPr>
              <w:topLinePunct/>
              <w:spacing w:line="440" w:lineRule="exact"/>
              <w:jc w:val="center"/>
              <w:rPr>
                <w:rFonts w:ascii="仿宋" w:hAnsi="仿宋" w:eastAsia="仿宋" w:cs="仿宋"/>
                <w:sz w:val="24"/>
              </w:rPr>
            </w:pPr>
          </w:p>
        </w:tc>
      </w:tr>
      <w:tr w14:paraId="59986A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17D2B6A">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9932966">
            <w:pPr>
              <w:topLinePunct/>
              <w:spacing w:line="440" w:lineRule="exact"/>
              <w:jc w:val="center"/>
              <w:rPr>
                <w:rFonts w:ascii="仿宋" w:hAnsi="仿宋" w:eastAsia="仿宋" w:cs="仿宋"/>
                <w:sz w:val="24"/>
              </w:rPr>
            </w:pPr>
          </w:p>
        </w:tc>
      </w:tr>
      <w:tr w14:paraId="4A9DC2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B9C0E41">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8969593">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A22D0D0">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7AE0C1CE">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EA05EDE">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2745F3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AEF1AF3">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579D868">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327BC3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8D8D551">
            <w:pPr>
              <w:topLinePunct/>
              <w:spacing w:line="440" w:lineRule="exact"/>
              <w:jc w:val="center"/>
              <w:rPr>
                <w:rFonts w:ascii="仿宋" w:hAnsi="仿宋" w:eastAsia="仿宋" w:cs="仿宋"/>
                <w:sz w:val="24"/>
              </w:rPr>
            </w:pPr>
          </w:p>
        </w:tc>
      </w:tr>
      <w:tr w14:paraId="378614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08523A7">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20EC9F9">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7C661D2">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94735B0">
            <w:pPr>
              <w:topLinePunct/>
              <w:spacing w:line="440" w:lineRule="exact"/>
              <w:jc w:val="center"/>
              <w:rPr>
                <w:rFonts w:ascii="仿宋" w:hAnsi="仿宋" w:eastAsia="仿宋" w:cs="仿宋"/>
                <w:sz w:val="24"/>
              </w:rPr>
            </w:pPr>
          </w:p>
        </w:tc>
      </w:tr>
      <w:tr w14:paraId="68928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8CDD89F">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691E815">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C6D964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7461712">
            <w:pPr>
              <w:topLinePunct/>
              <w:spacing w:line="440" w:lineRule="exact"/>
              <w:jc w:val="center"/>
              <w:rPr>
                <w:rFonts w:ascii="仿宋" w:hAnsi="仿宋" w:eastAsia="仿宋" w:cs="仿宋"/>
                <w:sz w:val="24"/>
              </w:rPr>
            </w:pPr>
          </w:p>
        </w:tc>
      </w:tr>
      <w:tr w14:paraId="77002E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0D29362">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3208E3FA">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34764A19">
      <w:pPr>
        <w:widowControl/>
        <w:spacing w:line="480" w:lineRule="exact"/>
        <w:rPr>
          <w:rFonts w:ascii="仿宋" w:hAnsi="仿宋" w:eastAsia="仿宋"/>
          <w:kern w:val="0"/>
          <w:sz w:val="28"/>
          <w:szCs w:val="28"/>
        </w:rPr>
      </w:pPr>
    </w:p>
    <w:p w14:paraId="56AE3CE7">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729E4BD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43A5BE1C">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2ACD0275">
      <w:pPr>
        <w:widowControl/>
        <w:spacing w:line="480" w:lineRule="exact"/>
        <w:rPr>
          <w:rFonts w:ascii="宋体" w:hAnsi="宋体" w:cs="宋体"/>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5C81917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10E0677E">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资格条件证明文件</w:t>
      </w:r>
    </w:p>
    <w:p w14:paraId="56DCE15F">
      <w:pPr>
        <w:widowControl/>
        <w:spacing w:line="480" w:lineRule="exact"/>
        <w:ind w:firstLine="620" w:firstLineChars="200"/>
        <w:rPr>
          <w:rFonts w:ascii="仿宋" w:hAnsi="仿宋" w:eastAsia="仿宋"/>
          <w:spacing w:val="15"/>
          <w:kern w:val="0"/>
          <w:sz w:val="28"/>
          <w:szCs w:val="28"/>
        </w:rPr>
      </w:pPr>
    </w:p>
    <w:p w14:paraId="4367E25D">
      <w:pPr>
        <w:rPr>
          <w:rFonts w:ascii="仿宋" w:hAnsi="仿宋" w:eastAsia="仿宋" w:cs="仿宋"/>
          <w:spacing w:val="15"/>
          <w:kern w:val="0"/>
          <w:sz w:val="28"/>
          <w:szCs w:val="28"/>
        </w:rPr>
      </w:pPr>
    </w:p>
    <w:p w14:paraId="0378EE1F">
      <w:pPr>
        <w:rPr>
          <w:rFonts w:ascii="宋体" w:hAnsi="宋体" w:cs="宋体"/>
          <w:b/>
          <w:bCs/>
          <w:kern w:val="0"/>
          <w:sz w:val="28"/>
          <w:szCs w:val="28"/>
        </w:rPr>
      </w:pPr>
      <w:r>
        <w:rPr>
          <w:rFonts w:hint="eastAsia" w:ascii="仿宋" w:hAnsi="仿宋" w:eastAsia="仿宋" w:cs="仿宋"/>
          <w:spacing w:val="15"/>
          <w:kern w:val="0"/>
          <w:sz w:val="28"/>
          <w:szCs w:val="28"/>
        </w:rPr>
        <w:br w:type="page"/>
      </w:r>
      <w:r>
        <w:rPr>
          <w:rFonts w:hint="eastAsia" w:ascii="宋体" w:hAnsi="宋体" w:cs="宋体"/>
          <w:b/>
          <w:bCs/>
          <w:kern w:val="0"/>
          <w:sz w:val="28"/>
          <w:szCs w:val="28"/>
        </w:rPr>
        <w:t>附件7</w:t>
      </w:r>
    </w:p>
    <w:p w14:paraId="583C572A">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20"/>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80656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03464564">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5FA7ADF1">
            <w:pPr>
              <w:spacing w:line="420" w:lineRule="exact"/>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衡阳纺织机械厂地块产业策划和城市更新规划编制</w:t>
            </w:r>
          </w:p>
        </w:tc>
      </w:tr>
      <w:tr w14:paraId="2C8FC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1F73DFB3">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0119E427">
            <w:pPr>
              <w:adjustRightInd w:val="0"/>
              <w:snapToGrid w:val="0"/>
              <w:spacing w:line="380" w:lineRule="exact"/>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对衡阳纺织机械厂地块，出具“产业策划+城市更新规划”工作成果。</w:t>
            </w:r>
          </w:p>
        </w:tc>
      </w:tr>
      <w:tr w14:paraId="742245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3BC6DD56">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4ED34114">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48C27DF2">
            <w:pPr>
              <w:adjustRightInd w:val="0"/>
              <w:snapToGrid w:val="0"/>
              <w:spacing w:line="380" w:lineRule="exact"/>
              <w:rPr>
                <w:rFonts w:ascii="仿宋" w:hAnsi="仿宋" w:eastAsia="仿宋" w:cs="仿宋"/>
                <w:sz w:val="28"/>
                <w:szCs w:val="28"/>
              </w:rPr>
            </w:pPr>
          </w:p>
          <w:p w14:paraId="070D409F">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56B92B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6233B12">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6F7013E3">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23A3AD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58C9A8E">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0927AC68">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41A7D501">
            <w:pPr>
              <w:spacing w:line="420" w:lineRule="exact"/>
              <w:ind w:firstLine="280" w:firstLineChars="100"/>
              <w:rPr>
                <w:rFonts w:ascii="仿宋" w:hAnsi="仿宋" w:eastAsia="仿宋" w:cs="仿宋"/>
                <w:sz w:val="28"/>
                <w:szCs w:val="28"/>
              </w:rPr>
            </w:pPr>
          </w:p>
        </w:tc>
      </w:tr>
      <w:tr w14:paraId="79C63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00C2C56">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416ACDEB">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716950.00</w:t>
            </w:r>
            <w:r>
              <w:rPr>
                <w:rFonts w:hint="eastAsia" w:ascii="仿宋" w:hAnsi="仿宋" w:eastAsia="仿宋" w:cs="仿宋"/>
                <w:sz w:val="24"/>
              </w:rPr>
              <w:t>元，投标报价不得高于最高投标限价。</w:t>
            </w:r>
          </w:p>
        </w:tc>
      </w:tr>
    </w:tbl>
    <w:p w14:paraId="409503A5">
      <w:pPr>
        <w:widowControl/>
        <w:spacing w:line="480" w:lineRule="exact"/>
        <w:jc w:val="center"/>
        <w:rPr>
          <w:b/>
          <w:bCs/>
          <w:kern w:val="0"/>
          <w:sz w:val="28"/>
          <w:szCs w:val="28"/>
        </w:rPr>
      </w:pPr>
    </w:p>
    <w:p w14:paraId="5EF47BEF">
      <w:pPr>
        <w:widowControl/>
        <w:spacing w:line="480" w:lineRule="exact"/>
        <w:rPr>
          <w:rFonts w:ascii="仿宋" w:hAnsi="仿宋" w:eastAsia="仿宋"/>
          <w:kern w:val="0"/>
          <w:sz w:val="28"/>
          <w:szCs w:val="28"/>
        </w:rPr>
      </w:pPr>
    </w:p>
    <w:p w14:paraId="6FC3657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0887EECB">
      <w:pPr>
        <w:widowControl/>
        <w:spacing w:line="480" w:lineRule="exact"/>
        <w:rPr>
          <w:rFonts w:ascii="仿宋" w:hAnsi="仿宋" w:eastAsia="仿宋"/>
          <w:kern w:val="0"/>
          <w:sz w:val="28"/>
          <w:szCs w:val="28"/>
        </w:rPr>
      </w:pPr>
    </w:p>
    <w:p w14:paraId="06AAD94F">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125F38C">
      <w:pPr>
        <w:widowControl/>
        <w:spacing w:line="480" w:lineRule="exact"/>
        <w:rPr>
          <w:rFonts w:ascii="仿宋" w:hAnsi="仿宋" w:eastAsia="仿宋"/>
          <w:kern w:val="0"/>
          <w:sz w:val="28"/>
          <w:szCs w:val="28"/>
        </w:rPr>
      </w:pPr>
    </w:p>
    <w:p w14:paraId="3DB4ABBD">
      <w:pPr>
        <w:spacing w:line="480" w:lineRule="exact"/>
        <w:ind w:firstLine="4760" w:firstLineChars="1700"/>
      </w:pPr>
      <w:r>
        <w:rPr>
          <w:rFonts w:hint="eastAsia" w:ascii="仿宋" w:hAnsi="仿宋" w:eastAsia="仿宋"/>
          <w:kern w:val="0"/>
          <w:sz w:val="28"/>
          <w:szCs w:val="28"/>
        </w:rPr>
        <w:t>日期：   年   月   日</w:t>
      </w:r>
    </w:p>
    <w:p w14:paraId="208FD5CE">
      <w:pPr>
        <w:spacing w:line="600" w:lineRule="auto"/>
        <w:jc w:val="left"/>
      </w:pPr>
    </w:p>
    <w:p w14:paraId="7FCF2E05">
      <w:pPr>
        <w:adjustRightInd w:val="0"/>
        <w:snapToGrid w:val="0"/>
        <w:spacing w:line="560" w:lineRule="exact"/>
        <w:jc w:val="center"/>
      </w:pPr>
      <w:r>
        <w:rPr>
          <w:rFonts w:hint="eastAsia" w:ascii="Calibri" w:hAnsi="Calibri" w:eastAsia="方正小标宋简体"/>
          <w:bCs/>
          <w:kern w:val="44"/>
          <w:sz w:val="44"/>
          <w:szCs w:val="44"/>
        </w:rPr>
        <w:t>第四章  评标办法（综合评分法）</w:t>
      </w:r>
    </w:p>
    <w:tbl>
      <w:tblPr>
        <w:tblStyle w:val="20"/>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74EEB0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2E6B6A96">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33948587">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29F8581F">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76E32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5B47240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6D9E427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497C2A5F">
            <w:pPr>
              <w:widowControl/>
              <w:spacing w:line="360" w:lineRule="exact"/>
              <w:jc w:val="center"/>
              <w:rPr>
                <w:rFonts w:ascii="仿宋" w:hAnsi="仿宋" w:eastAsia="仿宋" w:cs="仿宋"/>
                <w:kern w:val="0"/>
                <w:szCs w:val="21"/>
              </w:rPr>
            </w:pPr>
          </w:p>
          <w:p w14:paraId="76E580A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0E306541">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55DA1A6C">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评审环节按照详细评审得分进行排名，得分最高的排名第一，以此类推。如评分完全一致，依次按照投标报价得分、服务团队得分、资信业绩得分高低进行排序，若完全一致，则按现场签到的先后时间顺序确定中选候选人排序。</w:t>
            </w:r>
          </w:p>
        </w:tc>
      </w:tr>
      <w:tr w14:paraId="537422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784810E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6FA2159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0734A49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3CF01B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386967C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5784D0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0F04A099">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7D123F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2F1FCF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7BC1F61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62063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6A3BC966">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5E7BE2A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512ADB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EEA966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附件7”“附件7-1”要求</w:t>
            </w:r>
            <w:r>
              <w:rPr>
                <w:rFonts w:hint="eastAsia" w:ascii="仿宋" w:hAnsi="仿宋" w:eastAsia="仿宋" w:cs="仿宋"/>
                <w:kern w:val="0"/>
                <w:szCs w:val="21"/>
              </w:rPr>
              <w:t>投标报价</w:t>
            </w:r>
          </w:p>
        </w:tc>
      </w:tr>
      <w:tr w14:paraId="0B1A16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23336337">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2879A49A">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2541519">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00E1B5F5">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按“附件1至附件7”内容及格式提供相应文件</w:t>
            </w:r>
          </w:p>
        </w:tc>
      </w:tr>
      <w:tr w14:paraId="6D92DB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4" w:hRule="atLeast"/>
          <w:jc w:val="center"/>
        </w:trPr>
        <w:tc>
          <w:tcPr>
            <w:tcW w:w="1096" w:type="dxa"/>
            <w:vMerge w:val="continue"/>
            <w:tcBorders>
              <w:left w:val="single" w:color="auto" w:sz="4" w:space="0"/>
              <w:right w:val="single" w:color="auto" w:sz="4" w:space="0"/>
            </w:tcBorders>
            <w:vAlign w:val="center"/>
          </w:tcPr>
          <w:p w14:paraId="5CEAD04D">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382C4DB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F2F6D0A">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参选文件份数</w:t>
            </w:r>
          </w:p>
        </w:tc>
        <w:tc>
          <w:tcPr>
            <w:tcW w:w="5200" w:type="dxa"/>
            <w:tcBorders>
              <w:top w:val="single" w:color="auto" w:sz="4" w:space="0"/>
              <w:left w:val="single" w:color="auto" w:sz="4" w:space="0"/>
              <w:bottom w:val="single" w:color="auto" w:sz="4" w:space="0"/>
              <w:right w:val="single" w:color="auto" w:sz="4" w:space="0"/>
            </w:tcBorders>
            <w:vAlign w:val="center"/>
          </w:tcPr>
          <w:p w14:paraId="20F91A2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正本1份，副本2份，电子文档1份 （电子文件内容为参选文件的扫描件，载体为U盘；副本为正本的复印件，并在封面加盖参选单位公章）。</w:t>
            </w:r>
          </w:p>
        </w:tc>
      </w:tr>
      <w:tr w14:paraId="2ABE8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1096" w:type="dxa"/>
            <w:vMerge w:val="continue"/>
            <w:tcBorders>
              <w:left w:val="single" w:color="auto" w:sz="4" w:space="0"/>
              <w:right w:val="single" w:color="auto" w:sz="4" w:space="0"/>
            </w:tcBorders>
            <w:vAlign w:val="center"/>
          </w:tcPr>
          <w:p w14:paraId="3A32F05F">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520D4B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663ECD9">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0EB41DE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近三年内，在经营活动中无不良行为记录（包括行政处罚、经营异常、严重失信等均视为不良行为记录）。</w:t>
            </w:r>
          </w:p>
        </w:tc>
      </w:tr>
      <w:tr w14:paraId="77E24F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5B77FE01">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6410AF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83CF845">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493D72E2">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参选单位法定代表人或负责人为同一人或者存在控股、管理关系的不同参选人，不得同时参加本次比选。</w:t>
            </w:r>
          </w:p>
        </w:tc>
      </w:tr>
      <w:tr w14:paraId="673D79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2068D95F">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5999FDAF">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3E487E40">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7CFC86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134FB03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570C405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41F7206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326E3BA0">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270298E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E33C5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80060F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65DFC1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57FC21C">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46624B6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86D9A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E158528">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1C51D8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D0DAE8E">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485CC59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91265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096" w:type="dxa"/>
            <w:vMerge w:val="continue"/>
            <w:tcBorders>
              <w:left w:val="single" w:color="auto" w:sz="4" w:space="0"/>
              <w:right w:val="single" w:color="auto" w:sz="4" w:space="0"/>
            </w:tcBorders>
            <w:vAlign w:val="center"/>
          </w:tcPr>
          <w:p w14:paraId="5C0B644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89B95D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99DF1BB">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559003A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F5701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71791A41">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7E48C14E">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35E6FF1B">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34C08A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521F5DE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3</w:t>
            </w:r>
          </w:p>
        </w:tc>
        <w:tc>
          <w:tcPr>
            <w:tcW w:w="1154" w:type="dxa"/>
            <w:tcBorders>
              <w:top w:val="single" w:color="auto" w:sz="4" w:space="0"/>
              <w:left w:val="single" w:color="auto" w:sz="4" w:space="0"/>
              <w:bottom w:val="single" w:color="auto" w:sz="4" w:space="0"/>
              <w:right w:val="single" w:color="auto" w:sz="4" w:space="0"/>
            </w:tcBorders>
            <w:vAlign w:val="center"/>
          </w:tcPr>
          <w:p w14:paraId="0F772A2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详细评审标准</w:t>
            </w: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561E5C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资信业绩部分：</w:t>
            </w:r>
            <w:r>
              <w:rPr>
                <w:rFonts w:hint="eastAsia" w:ascii="仿宋" w:hAnsi="仿宋" w:eastAsia="仿宋" w:cs="仿宋"/>
                <w:kern w:val="0"/>
                <w:szCs w:val="21"/>
                <w:lang w:val="en-US" w:eastAsia="zh-CN"/>
              </w:rPr>
              <w:t>25</w:t>
            </w:r>
            <w:r>
              <w:rPr>
                <w:rFonts w:hint="eastAsia" w:ascii="仿宋" w:hAnsi="仿宋" w:eastAsia="仿宋" w:cs="仿宋"/>
                <w:kern w:val="0"/>
                <w:szCs w:val="21"/>
              </w:rPr>
              <w:t>分 服务团队部分：</w:t>
            </w:r>
            <w:r>
              <w:rPr>
                <w:rFonts w:hint="eastAsia" w:ascii="仿宋" w:hAnsi="仿宋" w:eastAsia="仿宋" w:cs="仿宋"/>
                <w:kern w:val="0"/>
                <w:szCs w:val="21"/>
                <w:lang w:val="en-US" w:eastAsia="zh-CN"/>
              </w:rPr>
              <w:t>45</w:t>
            </w:r>
            <w:r>
              <w:rPr>
                <w:rFonts w:hint="eastAsia" w:ascii="仿宋" w:hAnsi="仿宋" w:eastAsia="仿宋" w:cs="仿宋"/>
                <w:kern w:val="0"/>
                <w:szCs w:val="21"/>
              </w:rPr>
              <w:t>分 投标报价部分：30分</w:t>
            </w:r>
          </w:p>
        </w:tc>
      </w:tr>
      <w:tr w14:paraId="161D6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restart"/>
            <w:tcBorders>
              <w:top w:val="single" w:color="auto" w:sz="4" w:space="0"/>
              <w:left w:val="single" w:color="auto" w:sz="4" w:space="0"/>
              <w:right w:val="single" w:color="auto" w:sz="4" w:space="0"/>
            </w:tcBorders>
            <w:vAlign w:val="center"/>
          </w:tcPr>
          <w:p w14:paraId="0E6AF13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3.1</w:t>
            </w:r>
          </w:p>
        </w:tc>
        <w:tc>
          <w:tcPr>
            <w:tcW w:w="1154" w:type="dxa"/>
            <w:vMerge w:val="restart"/>
            <w:tcBorders>
              <w:top w:val="single" w:color="auto" w:sz="4" w:space="0"/>
              <w:left w:val="single" w:color="auto" w:sz="4" w:space="0"/>
              <w:right w:val="single" w:color="auto" w:sz="4" w:space="0"/>
            </w:tcBorders>
            <w:vAlign w:val="center"/>
          </w:tcPr>
          <w:p w14:paraId="2B16880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资信业绩评分标准</w:t>
            </w:r>
          </w:p>
          <w:p w14:paraId="78D6DA9A">
            <w:pPr>
              <w:pStyle w:val="18"/>
              <w:ind w:firstLine="0" w:firstLineChars="0"/>
            </w:pPr>
            <w:r>
              <w:rPr>
                <w:rFonts w:hint="eastAsia" w:ascii="仿宋" w:hAnsi="仿宋" w:eastAsia="仿宋" w:cs="仿宋"/>
                <w:kern w:val="0"/>
                <w:szCs w:val="21"/>
              </w:rPr>
              <w:t>（25分）</w:t>
            </w:r>
          </w:p>
        </w:tc>
        <w:tc>
          <w:tcPr>
            <w:tcW w:w="2008" w:type="dxa"/>
            <w:tcBorders>
              <w:top w:val="single" w:color="auto" w:sz="4" w:space="0"/>
              <w:left w:val="single" w:color="auto" w:sz="4" w:space="0"/>
              <w:bottom w:val="single" w:color="auto" w:sz="4" w:space="0"/>
              <w:right w:val="single" w:color="auto" w:sz="4" w:space="0"/>
            </w:tcBorders>
            <w:vAlign w:val="center"/>
          </w:tcPr>
          <w:p w14:paraId="08EAACE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类似业绩</w:t>
            </w:r>
          </w:p>
          <w:p w14:paraId="3CEE4454">
            <w:pPr>
              <w:widowControl/>
              <w:spacing w:line="360" w:lineRule="exact"/>
              <w:jc w:val="center"/>
            </w:pPr>
            <w:r>
              <w:rPr>
                <w:rFonts w:hint="eastAsia" w:ascii="仿宋" w:hAnsi="仿宋" w:eastAsia="仿宋" w:cs="仿宋"/>
                <w:kern w:val="0"/>
                <w:szCs w:val="21"/>
              </w:rPr>
              <w:t>（15分）</w:t>
            </w:r>
          </w:p>
        </w:tc>
        <w:tc>
          <w:tcPr>
            <w:tcW w:w="5200" w:type="dxa"/>
            <w:tcBorders>
              <w:top w:val="single" w:color="auto" w:sz="4" w:space="0"/>
              <w:left w:val="single" w:color="auto" w:sz="4" w:space="0"/>
              <w:bottom w:val="single" w:color="auto" w:sz="4" w:space="0"/>
              <w:right w:val="single" w:color="auto" w:sz="4" w:space="0"/>
            </w:tcBorders>
            <w:vAlign w:val="center"/>
          </w:tcPr>
          <w:p w14:paraId="35E82F20">
            <w:pPr>
              <w:spacing w:line="30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参选单位近5年（2020年10月-2025年10月）</w:t>
            </w:r>
            <w:r>
              <w:rPr>
                <w:rFonts w:ascii="仿宋" w:hAnsi="仿宋" w:eastAsia="仿宋" w:cs="仿宋"/>
                <w:kern w:val="0"/>
                <w:szCs w:val="21"/>
              </w:rPr>
              <w:t>具有类似业绩的，每个计</w:t>
            </w:r>
            <w:r>
              <w:rPr>
                <w:rFonts w:hint="eastAsia" w:ascii="仿宋" w:hAnsi="仿宋" w:eastAsia="仿宋" w:cs="仿宋"/>
                <w:kern w:val="0"/>
                <w:szCs w:val="21"/>
              </w:rPr>
              <w:t>3</w:t>
            </w:r>
            <w:r>
              <w:rPr>
                <w:rFonts w:ascii="仿宋" w:hAnsi="仿宋" w:eastAsia="仿宋" w:cs="仿宋"/>
                <w:kern w:val="0"/>
                <w:szCs w:val="21"/>
              </w:rPr>
              <w:t>分，最多计</w:t>
            </w:r>
            <w:r>
              <w:rPr>
                <w:rFonts w:hint="eastAsia" w:ascii="仿宋" w:hAnsi="仿宋" w:eastAsia="仿宋" w:cs="仿宋"/>
                <w:kern w:val="0"/>
                <w:szCs w:val="21"/>
              </w:rPr>
              <w:t>5</w:t>
            </w:r>
            <w:r>
              <w:rPr>
                <w:rFonts w:ascii="仿宋" w:hAnsi="仿宋" w:eastAsia="仿宋" w:cs="仿宋"/>
                <w:kern w:val="0"/>
                <w:szCs w:val="21"/>
              </w:rPr>
              <w:t>个，最高计</w:t>
            </w:r>
            <w:r>
              <w:rPr>
                <w:rFonts w:hint="eastAsia" w:ascii="仿宋" w:hAnsi="仿宋" w:eastAsia="仿宋" w:cs="仿宋"/>
                <w:kern w:val="0"/>
                <w:szCs w:val="21"/>
              </w:rPr>
              <w:t>15</w:t>
            </w:r>
            <w:r>
              <w:rPr>
                <w:rFonts w:ascii="仿宋" w:hAnsi="仿宋" w:eastAsia="仿宋" w:cs="仿宋"/>
                <w:kern w:val="0"/>
                <w:szCs w:val="21"/>
              </w:rPr>
              <w:t>分。类似业绩指：</w:t>
            </w:r>
            <w:r>
              <w:rPr>
                <w:rFonts w:hint="eastAsia" w:ascii="仿宋" w:hAnsi="仿宋" w:eastAsia="仿宋" w:cs="仿宋"/>
                <w:kern w:val="0"/>
                <w:szCs w:val="21"/>
              </w:rPr>
              <w:t>城市开发类规划或国土空间类规划或产业类规划或产业园类规划（概念性规划、控制性规划、修建性规划及更新规划），合同金额不低于35万。近三年时间以合同签订时间为准。</w:t>
            </w:r>
          </w:p>
          <w:p w14:paraId="55D623E8">
            <w:pPr>
              <w:spacing w:line="30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需提供合同复印件，合同应包含首页、信息关键页、签署页（签字盖章完整），且能体现服务内容、合同价款及比选文件要求的其他关键信息，否则不认定为有效业绩.</w:t>
            </w:r>
          </w:p>
        </w:tc>
      </w:tr>
      <w:tr w14:paraId="1714DF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continue"/>
            <w:tcBorders>
              <w:left w:val="single" w:color="auto" w:sz="4" w:space="0"/>
              <w:bottom w:val="single" w:color="auto" w:sz="4" w:space="0"/>
              <w:right w:val="single" w:color="auto" w:sz="4" w:space="0"/>
            </w:tcBorders>
            <w:vAlign w:val="center"/>
          </w:tcPr>
          <w:p w14:paraId="1A82AFB5">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2A0EE529">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3677B4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企业信用</w:t>
            </w:r>
          </w:p>
          <w:p w14:paraId="24B0565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（10分）</w:t>
            </w:r>
          </w:p>
        </w:tc>
        <w:tc>
          <w:tcPr>
            <w:tcW w:w="5200" w:type="dxa"/>
            <w:tcBorders>
              <w:top w:val="single" w:color="auto" w:sz="4" w:space="0"/>
              <w:left w:val="single" w:color="auto" w:sz="4" w:space="0"/>
              <w:bottom w:val="single" w:color="auto" w:sz="4" w:space="0"/>
              <w:right w:val="single" w:color="auto" w:sz="4" w:space="0"/>
            </w:tcBorders>
            <w:vAlign w:val="center"/>
          </w:tcPr>
          <w:p w14:paraId="00A832B4">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 xml:space="preserve">1.参选单位近5年（2020年10月-2025年10月）  ，获得省级及以上市场监督管理局（或省级及以上工商行政管理部门或省级及以上守合同重信用企业协会）颁发的“守合同重信用企业 ” 荣誉的，每获得一次荣誉，计1分，最高计4分，同一年度获得多个的仅计一次。     </w:t>
            </w:r>
          </w:p>
          <w:p w14:paraId="7502B6D4">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需提供获奖材料复印件。</w:t>
            </w:r>
          </w:p>
          <w:p w14:paraId="49DBBDB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2.参选单位具有质量管理体系、环境管理体系、职业健康安全管理体系认证证书的每个计2分。最高计6分。</w:t>
            </w:r>
          </w:p>
          <w:p w14:paraId="69859680">
            <w:pPr>
              <w:widowControl/>
              <w:spacing w:line="360" w:lineRule="exact"/>
              <w:ind w:firstLine="420" w:firstLineChars="200"/>
              <w:rPr>
                <w:rFonts w:ascii="宋体" w:hAnsi="宋体" w:cs="宋体"/>
                <w:szCs w:val="21"/>
              </w:rPr>
            </w:pPr>
            <w:r>
              <w:rPr>
                <w:rFonts w:hint="eastAsia" w:ascii="仿宋" w:hAnsi="仿宋" w:eastAsia="仿宋" w:cs="仿宋"/>
                <w:kern w:val="0"/>
                <w:szCs w:val="21"/>
              </w:rPr>
              <w:t>需提供相关证书复印件。</w:t>
            </w:r>
          </w:p>
        </w:tc>
      </w:tr>
      <w:tr w14:paraId="2A3B5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restart"/>
            <w:tcBorders>
              <w:top w:val="single" w:color="auto" w:sz="4" w:space="0"/>
              <w:left w:val="single" w:color="auto" w:sz="4" w:space="0"/>
              <w:right w:val="single" w:color="auto" w:sz="4" w:space="0"/>
            </w:tcBorders>
            <w:vAlign w:val="center"/>
          </w:tcPr>
          <w:p w14:paraId="5C21E36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3.2</w:t>
            </w:r>
          </w:p>
          <w:p w14:paraId="35A864CB">
            <w:pPr>
              <w:widowControl/>
              <w:spacing w:line="360" w:lineRule="exact"/>
              <w:jc w:val="center"/>
              <w:rPr>
                <w:rFonts w:ascii="仿宋" w:hAnsi="仿宋" w:eastAsia="仿宋" w:cs="仿宋"/>
                <w:kern w:val="0"/>
                <w:szCs w:val="21"/>
              </w:rPr>
            </w:pPr>
          </w:p>
        </w:tc>
        <w:tc>
          <w:tcPr>
            <w:tcW w:w="1154" w:type="dxa"/>
            <w:vMerge w:val="restart"/>
            <w:tcBorders>
              <w:top w:val="single" w:color="auto" w:sz="4" w:space="0"/>
              <w:left w:val="single" w:color="auto" w:sz="4" w:space="0"/>
              <w:right w:val="single" w:color="auto" w:sz="4" w:space="0"/>
            </w:tcBorders>
            <w:vAlign w:val="center"/>
          </w:tcPr>
          <w:p w14:paraId="4FCCCAA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服务团队评分标准</w:t>
            </w:r>
          </w:p>
          <w:p w14:paraId="2F22617C">
            <w:pPr>
              <w:pStyle w:val="18"/>
              <w:ind w:firstLine="0" w:firstLineChars="0"/>
            </w:pPr>
            <w:r>
              <w:rPr>
                <w:rFonts w:hint="eastAsia" w:ascii="仿宋" w:hAnsi="仿宋" w:eastAsia="仿宋" w:cs="仿宋"/>
                <w:kern w:val="0"/>
                <w:szCs w:val="21"/>
              </w:rPr>
              <w:t>（45分）</w:t>
            </w:r>
          </w:p>
        </w:tc>
        <w:tc>
          <w:tcPr>
            <w:tcW w:w="2008" w:type="dxa"/>
            <w:tcBorders>
              <w:top w:val="single" w:color="auto" w:sz="4" w:space="0"/>
              <w:left w:val="single" w:color="auto" w:sz="4" w:space="0"/>
              <w:bottom w:val="single" w:color="auto" w:sz="4" w:space="0"/>
              <w:right w:val="single" w:color="auto" w:sz="4" w:space="0"/>
            </w:tcBorders>
            <w:vAlign w:val="center"/>
          </w:tcPr>
          <w:p w14:paraId="0F86AE6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项目负责人资格</w:t>
            </w:r>
          </w:p>
          <w:p w14:paraId="5066246E">
            <w:pPr>
              <w:widowControl/>
              <w:spacing w:line="360" w:lineRule="exact"/>
              <w:jc w:val="center"/>
            </w:pPr>
            <w:r>
              <w:rPr>
                <w:rFonts w:hint="eastAsia" w:ascii="仿宋" w:hAnsi="仿宋" w:eastAsia="仿宋" w:cs="仿宋"/>
                <w:kern w:val="0"/>
                <w:szCs w:val="21"/>
              </w:rPr>
              <w:t>（5分）</w:t>
            </w:r>
          </w:p>
        </w:tc>
        <w:tc>
          <w:tcPr>
            <w:tcW w:w="5200" w:type="dxa"/>
            <w:tcBorders>
              <w:top w:val="single" w:color="auto" w:sz="4" w:space="0"/>
              <w:left w:val="single" w:color="auto" w:sz="4" w:space="0"/>
              <w:bottom w:val="single" w:color="auto" w:sz="4" w:space="0"/>
              <w:right w:val="single" w:color="auto" w:sz="4" w:space="0"/>
            </w:tcBorders>
            <w:vAlign w:val="center"/>
          </w:tcPr>
          <w:p w14:paraId="29C763E7">
            <w:pPr>
              <w:widowControl/>
              <w:spacing w:line="360" w:lineRule="exact"/>
              <w:ind w:firstLine="420" w:firstLineChars="200"/>
              <w:rPr>
                <w:rFonts w:ascii="仿宋" w:hAnsi="仿宋" w:eastAsia="仿宋" w:cs="仿宋"/>
                <w:kern w:val="0"/>
                <w:szCs w:val="21"/>
                <w:highlight w:val="none"/>
              </w:rPr>
            </w:pPr>
            <w:r>
              <w:rPr>
                <w:rFonts w:ascii="仿宋" w:hAnsi="仿宋" w:eastAsia="仿宋" w:cs="仿宋"/>
                <w:kern w:val="0"/>
                <w:szCs w:val="21"/>
                <w:highlight w:val="none"/>
              </w:rPr>
              <w:t>项目负责人具备</w:t>
            </w:r>
            <w:r>
              <w:rPr>
                <w:rFonts w:hint="eastAsia" w:ascii="仿宋" w:hAnsi="仿宋" w:eastAsia="仿宋" w:cs="仿宋"/>
                <w:kern w:val="0"/>
                <w:szCs w:val="21"/>
                <w:highlight w:val="none"/>
              </w:rPr>
              <w:t>国土空间规划（城乡规划或城市规划）中级职称的</w:t>
            </w:r>
            <w:r>
              <w:rPr>
                <w:rFonts w:ascii="仿宋" w:hAnsi="仿宋" w:eastAsia="仿宋" w:cs="仿宋"/>
                <w:kern w:val="0"/>
                <w:szCs w:val="21"/>
                <w:highlight w:val="none"/>
              </w:rPr>
              <w:t>计</w:t>
            </w:r>
            <w:r>
              <w:rPr>
                <w:rFonts w:hint="eastAsia" w:ascii="仿宋" w:hAnsi="仿宋" w:eastAsia="仿宋" w:cs="仿宋"/>
                <w:kern w:val="0"/>
                <w:szCs w:val="21"/>
                <w:highlight w:val="none"/>
              </w:rPr>
              <w:t>1</w:t>
            </w:r>
            <w:r>
              <w:rPr>
                <w:rFonts w:ascii="仿宋" w:hAnsi="仿宋" w:eastAsia="仿宋" w:cs="仿宋"/>
                <w:kern w:val="0"/>
                <w:szCs w:val="21"/>
                <w:highlight w:val="none"/>
              </w:rPr>
              <w:t>分</w:t>
            </w:r>
            <w:r>
              <w:rPr>
                <w:rFonts w:hint="eastAsia" w:ascii="仿宋" w:hAnsi="仿宋" w:eastAsia="仿宋" w:cs="仿宋"/>
                <w:kern w:val="0"/>
                <w:szCs w:val="21"/>
                <w:highlight w:val="none"/>
              </w:rPr>
              <w:t>；具备国土空间规划（城乡规划或城市规划）高级职称的，计2分；具备国土空间规划（城乡规划或城市规划）正高级及以上职称的，计3分。若项目负责人同时具备注册城乡规划师，计2分。最高计5分。</w:t>
            </w:r>
          </w:p>
          <w:p w14:paraId="5F305345">
            <w:pPr>
              <w:pStyle w:val="2"/>
              <w:rPr>
                <w:highlight w:val="none"/>
              </w:rPr>
            </w:pPr>
            <w:r>
              <w:rPr>
                <w:rFonts w:hint="eastAsia"/>
                <w:highlight w:val="none"/>
              </w:rPr>
              <w:t xml:space="preserve">    </w:t>
            </w:r>
            <w:r>
              <w:rPr>
                <w:rFonts w:hint="eastAsia" w:ascii="仿宋" w:hAnsi="仿宋" w:eastAsia="仿宋" w:cs="仿宋"/>
                <w:kern w:val="0"/>
                <w:szCs w:val="21"/>
                <w:highlight w:val="none"/>
              </w:rPr>
              <w:t>需提供相关职称证书复印件及证书人员近半年连续6个月（2025年5月-10月）社保缴纳证明。</w:t>
            </w:r>
          </w:p>
        </w:tc>
      </w:tr>
      <w:tr w14:paraId="3012C8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continue"/>
            <w:tcBorders>
              <w:left w:val="single" w:color="auto" w:sz="4" w:space="0"/>
              <w:bottom w:val="single" w:color="auto" w:sz="4" w:space="0"/>
              <w:right w:val="single" w:color="auto" w:sz="4" w:space="0"/>
            </w:tcBorders>
            <w:vAlign w:val="center"/>
          </w:tcPr>
          <w:p w14:paraId="5440DC97">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DC48CC6">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21B69C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项目负责人履历</w:t>
            </w:r>
          </w:p>
          <w:p w14:paraId="406D6693">
            <w:pPr>
              <w:widowControl/>
              <w:spacing w:line="360" w:lineRule="exact"/>
              <w:jc w:val="center"/>
            </w:pPr>
            <w:r>
              <w:rPr>
                <w:rFonts w:hint="eastAsia" w:ascii="仿宋" w:hAnsi="仿宋" w:eastAsia="仿宋" w:cs="仿宋"/>
                <w:kern w:val="0"/>
                <w:szCs w:val="21"/>
              </w:rPr>
              <w:t>（10分）</w:t>
            </w:r>
          </w:p>
        </w:tc>
        <w:tc>
          <w:tcPr>
            <w:tcW w:w="5200" w:type="dxa"/>
            <w:tcBorders>
              <w:top w:val="single" w:color="auto" w:sz="4" w:space="0"/>
              <w:left w:val="single" w:color="auto" w:sz="4" w:space="0"/>
              <w:bottom w:val="single" w:color="auto" w:sz="4" w:space="0"/>
              <w:right w:val="single" w:color="auto" w:sz="4" w:space="0"/>
            </w:tcBorders>
            <w:vAlign w:val="center"/>
          </w:tcPr>
          <w:p w14:paraId="4F9B0907">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项目负责人参加的规划设计项目，自 2022 年1月1日起获得省级及以上规划奖项的（由具有公信力的行业协会或行政主管部门颁发），一等奖每个计3分，二等奖每个计2分，三等奖每个计1分，本项最多计10分。</w:t>
            </w:r>
          </w:p>
          <w:p w14:paraId="073852AA">
            <w:pPr>
              <w:pStyle w:val="2"/>
              <w:rPr>
                <w:rFonts w:eastAsia="仿宋"/>
                <w:highlight w:val="none"/>
              </w:rPr>
            </w:pPr>
            <w:r>
              <w:rPr>
                <w:rFonts w:hint="eastAsia" w:ascii="仿宋" w:hAnsi="仿宋" w:eastAsia="仿宋" w:cs="仿宋"/>
                <w:kern w:val="0"/>
                <w:szCs w:val="21"/>
                <w:highlight w:val="none"/>
              </w:rPr>
              <w:t xml:space="preserve">    需提供获奖材料复印件和项目负责人参与的佐证资料。</w:t>
            </w:r>
          </w:p>
        </w:tc>
      </w:tr>
      <w:tr w14:paraId="3EDF21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0866BD0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3.3</w:t>
            </w:r>
          </w:p>
        </w:tc>
        <w:tc>
          <w:tcPr>
            <w:tcW w:w="1154" w:type="dxa"/>
            <w:vMerge w:val="continue"/>
            <w:tcBorders>
              <w:left w:val="single" w:color="auto" w:sz="4" w:space="0"/>
              <w:right w:val="single" w:color="auto" w:sz="4" w:space="0"/>
            </w:tcBorders>
            <w:vAlign w:val="center"/>
          </w:tcPr>
          <w:p w14:paraId="6BF969C9">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2FDBB9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其他人员资格</w:t>
            </w:r>
          </w:p>
          <w:p w14:paraId="0FBEBD21">
            <w:pPr>
              <w:widowControl/>
              <w:spacing w:line="360" w:lineRule="exact"/>
              <w:jc w:val="center"/>
            </w:pPr>
            <w:r>
              <w:rPr>
                <w:rFonts w:hint="eastAsia" w:ascii="仿宋" w:hAnsi="仿宋" w:eastAsia="仿宋" w:cs="仿宋"/>
                <w:kern w:val="0"/>
                <w:szCs w:val="21"/>
              </w:rPr>
              <w:t>（10分）</w:t>
            </w:r>
          </w:p>
        </w:tc>
        <w:tc>
          <w:tcPr>
            <w:tcW w:w="5200" w:type="dxa"/>
            <w:tcBorders>
              <w:top w:val="single" w:color="auto" w:sz="4" w:space="0"/>
              <w:left w:val="single" w:color="auto" w:sz="4" w:space="0"/>
              <w:bottom w:val="single" w:color="auto" w:sz="4" w:space="0"/>
              <w:right w:val="single" w:color="auto" w:sz="4" w:space="0"/>
            </w:tcBorders>
            <w:vAlign w:val="center"/>
          </w:tcPr>
          <w:p w14:paraId="5F95BA1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（1）参选单位拟派建筑专业负责人具有建筑相关专业高级及以上技术职称的计1分，具有一级注册建筑师的计1分，本项最高得分2分。</w:t>
            </w:r>
          </w:p>
          <w:p w14:paraId="0CADAE1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（2）参选单位拟派风景园林专业负责人具有风景园林专业高级及以上技术职称的计1分，具有注册城乡规划师的计1分，本项最高得分2分。</w:t>
            </w:r>
          </w:p>
          <w:p w14:paraId="3B1FB5D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（3）参选单位拟派给排水专业负责人具有给排水相关专业高级及以上技术职称的计1分，具有注册公用设备工程师（给水排水）的计1分，本项最高得分2分。</w:t>
            </w:r>
          </w:p>
          <w:p w14:paraId="1E2A2C1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（4）参选单位拟派电气专业负责人具有电气相关专业高级及以上技术职称的计1分，具有注册电气工程师（供配电）的计1分，本项最高得分2分。</w:t>
            </w:r>
          </w:p>
          <w:p w14:paraId="6A7D325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（5）参选单位拟派道路专业负责人具有道路相关专业高级及以上技术职称的计1分，具有注册土木工程师（道路工程）的计1分，本项最高得分2分。</w:t>
            </w:r>
          </w:p>
          <w:p w14:paraId="4941CF44">
            <w:pPr>
              <w:pStyle w:val="18"/>
              <w:ind w:firstLineChars="200"/>
            </w:pPr>
            <w:r>
              <w:rPr>
                <w:rFonts w:hint="eastAsia" w:ascii="仿宋" w:hAnsi="仿宋" w:eastAsia="仿宋" w:cs="仿宋"/>
                <w:kern w:val="0"/>
                <w:szCs w:val="21"/>
              </w:rPr>
              <w:t>以上需提供相关证书复印件及证书人员近半年连续6个月</w:t>
            </w:r>
            <w:r>
              <w:rPr>
                <w:rFonts w:hint="eastAsia" w:ascii="仿宋" w:hAnsi="仿宋" w:eastAsia="仿宋" w:cs="仿宋"/>
                <w:kern w:val="0"/>
                <w:szCs w:val="21"/>
                <w:highlight w:val="none"/>
              </w:rPr>
              <w:t>（2025年5月-10月）社保</w:t>
            </w:r>
            <w:r>
              <w:rPr>
                <w:rFonts w:hint="eastAsia" w:ascii="仿宋" w:hAnsi="仿宋" w:eastAsia="仿宋" w:cs="仿宋"/>
                <w:kern w:val="0"/>
                <w:szCs w:val="21"/>
              </w:rPr>
              <w:t>缴纳证明。</w:t>
            </w:r>
          </w:p>
        </w:tc>
      </w:tr>
      <w:tr w14:paraId="7DDCE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restart"/>
            <w:tcBorders>
              <w:top w:val="single" w:color="auto" w:sz="4" w:space="0"/>
              <w:left w:val="single" w:color="auto" w:sz="4" w:space="0"/>
              <w:right w:val="single" w:color="auto" w:sz="4" w:space="0"/>
            </w:tcBorders>
            <w:vAlign w:val="center"/>
          </w:tcPr>
          <w:p w14:paraId="6868471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3.3</w:t>
            </w:r>
          </w:p>
        </w:tc>
        <w:tc>
          <w:tcPr>
            <w:tcW w:w="1154" w:type="dxa"/>
            <w:vMerge w:val="continue"/>
            <w:tcBorders>
              <w:left w:val="single" w:color="auto" w:sz="4" w:space="0"/>
              <w:right w:val="single" w:color="auto" w:sz="4" w:space="0"/>
            </w:tcBorders>
            <w:vAlign w:val="center"/>
          </w:tcPr>
          <w:p w14:paraId="65B26317">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617BD6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服务方案</w:t>
            </w:r>
          </w:p>
          <w:p w14:paraId="6F29EDA0">
            <w:pPr>
              <w:widowControl/>
              <w:spacing w:line="360" w:lineRule="exact"/>
              <w:jc w:val="center"/>
            </w:pPr>
            <w:r>
              <w:rPr>
                <w:rFonts w:hint="eastAsia" w:ascii="仿宋" w:hAnsi="仿宋" w:eastAsia="仿宋" w:cs="仿宋"/>
                <w:kern w:val="0"/>
                <w:szCs w:val="21"/>
              </w:rPr>
              <w:t>（10分）</w:t>
            </w:r>
          </w:p>
        </w:tc>
        <w:tc>
          <w:tcPr>
            <w:tcW w:w="5200" w:type="dxa"/>
            <w:tcBorders>
              <w:top w:val="single" w:color="auto" w:sz="4" w:space="0"/>
              <w:left w:val="single" w:color="auto" w:sz="4" w:space="0"/>
              <w:bottom w:val="single" w:color="auto" w:sz="4" w:space="0"/>
              <w:right w:val="single" w:color="auto" w:sz="4" w:space="0"/>
            </w:tcBorders>
            <w:vAlign w:val="center"/>
          </w:tcPr>
          <w:p w14:paraId="07CD329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参选人对本项目提出服务方案，服务方案优质、科学合理，符合本项目实际情况的得</w:t>
            </w:r>
            <w:r>
              <w:rPr>
                <w:rFonts w:hint="eastAsia" w:ascii="仿宋" w:hAnsi="仿宋" w:eastAsia="仿宋" w:cs="仿宋"/>
                <w:kern w:val="0"/>
                <w:szCs w:val="21"/>
                <w:lang w:val="en-US" w:eastAsia="zh-CN"/>
              </w:rPr>
              <w:t>8</w:t>
            </w:r>
            <w:r>
              <w:rPr>
                <w:rFonts w:hint="eastAsia" w:ascii="仿宋" w:hAnsi="仿宋" w:eastAsia="仿宋" w:cs="仿宋"/>
                <w:kern w:val="0"/>
                <w:szCs w:val="21"/>
              </w:rPr>
              <w:t>-</w:t>
            </w:r>
            <w:r>
              <w:rPr>
                <w:rFonts w:hint="eastAsia" w:ascii="仿宋" w:hAnsi="仿宋" w:eastAsia="仿宋" w:cs="仿宋"/>
                <w:kern w:val="0"/>
                <w:szCs w:val="21"/>
                <w:lang w:val="en-US" w:eastAsia="zh-CN"/>
              </w:rPr>
              <w:t>10</w:t>
            </w:r>
            <w:r>
              <w:rPr>
                <w:rFonts w:hint="eastAsia" w:ascii="仿宋" w:hAnsi="仿宋" w:eastAsia="仿宋" w:cs="仿宋"/>
                <w:kern w:val="0"/>
                <w:szCs w:val="21"/>
              </w:rPr>
              <w:t>分；服务方案基本合理可行、基本符合本项目实际情况的计得</w:t>
            </w:r>
            <w:r>
              <w:rPr>
                <w:rFonts w:hint="eastAsia" w:ascii="仿宋" w:hAnsi="仿宋" w:eastAsia="仿宋" w:cs="仿宋"/>
                <w:kern w:val="0"/>
                <w:szCs w:val="21"/>
                <w:lang w:val="en-US" w:eastAsia="zh-CN"/>
              </w:rPr>
              <w:t>5</w:t>
            </w:r>
            <w:r>
              <w:rPr>
                <w:rFonts w:hint="eastAsia" w:ascii="仿宋" w:hAnsi="仿宋" w:eastAsia="仿宋" w:cs="仿宋"/>
                <w:kern w:val="0"/>
                <w:szCs w:val="21"/>
              </w:rPr>
              <w:t>-</w:t>
            </w:r>
            <w:r>
              <w:rPr>
                <w:rFonts w:hint="eastAsia" w:ascii="仿宋" w:hAnsi="仿宋" w:eastAsia="仿宋" w:cs="仿宋"/>
                <w:kern w:val="0"/>
                <w:szCs w:val="21"/>
                <w:lang w:val="en-US" w:eastAsia="zh-CN"/>
              </w:rPr>
              <w:t>7</w:t>
            </w:r>
            <w:r>
              <w:rPr>
                <w:rFonts w:hint="eastAsia" w:ascii="仿宋" w:hAnsi="仿宋" w:eastAsia="仿宋" w:cs="仿宋"/>
                <w:kern w:val="0"/>
                <w:szCs w:val="21"/>
              </w:rPr>
              <w:t xml:space="preserve"> 分。工作方案不合理、不符合本项目实际情况的得0-</w:t>
            </w:r>
            <w:r>
              <w:rPr>
                <w:rFonts w:hint="eastAsia" w:ascii="仿宋" w:hAnsi="仿宋" w:eastAsia="仿宋" w:cs="仿宋"/>
                <w:kern w:val="0"/>
                <w:szCs w:val="21"/>
                <w:lang w:val="en-US" w:eastAsia="zh-CN"/>
              </w:rPr>
              <w:t>4</w:t>
            </w:r>
            <w:r>
              <w:rPr>
                <w:rFonts w:hint="eastAsia" w:ascii="仿宋" w:hAnsi="仿宋" w:eastAsia="仿宋" w:cs="仿宋"/>
                <w:kern w:val="0"/>
                <w:szCs w:val="21"/>
              </w:rPr>
              <w:t>分。</w:t>
            </w:r>
          </w:p>
          <w:p w14:paraId="53122EA7">
            <w:pPr>
              <w:widowControl/>
              <w:spacing w:line="360" w:lineRule="exact"/>
              <w:ind w:firstLine="420" w:firstLineChars="200"/>
              <w:rPr>
                <w:rFonts w:ascii="宋体" w:hAnsi="宋体" w:cs="宋体"/>
                <w:szCs w:val="21"/>
              </w:rPr>
            </w:pPr>
            <w:r>
              <w:rPr>
                <w:rFonts w:hint="eastAsia" w:ascii="仿宋" w:hAnsi="仿宋" w:eastAsia="仿宋" w:cs="仿宋"/>
                <w:kern w:val="0"/>
                <w:szCs w:val="21"/>
              </w:rPr>
              <w:t>需提供服务方案。</w:t>
            </w:r>
          </w:p>
        </w:tc>
      </w:tr>
      <w:tr w14:paraId="6B9A3B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continue"/>
            <w:tcBorders>
              <w:left w:val="single" w:color="auto" w:sz="4" w:space="0"/>
              <w:right w:val="single" w:color="auto" w:sz="4" w:space="0"/>
            </w:tcBorders>
            <w:vAlign w:val="center"/>
          </w:tcPr>
          <w:p w14:paraId="245A61AE">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A26DC17">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989723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团队配置</w:t>
            </w:r>
          </w:p>
          <w:p w14:paraId="55F3A57E">
            <w:pPr>
              <w:widowControl/>
              <w:spacing w:line="360" w:lineRule="exact"/>
              <w:jc w:val="center"/>
            </w:pPr>
            <w:r>
              <w:rPr>
                <w:rFonts w:hint="eastAsia" w:ascii="仿宋" w:hAnsi="仿宋" w:eastAsia="仿宋" w:cs="仿宋"/>
                <w:kern w:val="0"/>
                <w:szCs w:val="21"/>
              </w:rPr>
              <w:t>（10分）</w:t>
            </w:r>
          </w:p>
        </w:tc>
        <w:tc>
          <w:tcPr>
            <w:tcW w:w="5200" w:type="dxa"/>
            <w:tcBorders>
              <w:top w:val="single" w:color="auto" w:sz="4" w:space="0"/>
              <w:left w:val="single" w:color="auto" w:sz="4" w:space="0"/>
              <w:bottom w:val="single" w:color="auto" w:sz="4" w:space="0"/>
              <w:right w:val="single" w:color="auto" w:sz="4" w:space="0"/>
            </w:tcBorders>
            <w:vAlign w:val="center"/>
          </w:tcPr>
          <w:p w14:paraId="3C86E54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参选人团队配置科学合理、专业覆盖面广、专业水准高，完全满足本项目实际需求的，得</w:t>
            </w:r>
            <w:r>
              <w:rPr>
                <w:rFonts w:hint="eastAsia" w:ascii="仿宋" w:hAnsi="仿宋" w:eastAsia="仿宋" w:cs="仿宋"/>
                <w:kern w:val="0"/>
                <w:szCs w:val="21"/>
                <w:lang w:val="en-US" w:eastAsia="zh-CN"/>
              </w:rPr>
              <w:t>8</w:t>
            </w:r>
            <w:r>
              <w:rPr>
                <w:rFonts w:hint="eastAsia" w:ascii="仿宋" w:hAnsi="仿宋" w:eastAsia="仿宋" w:cs="仿宋"/>
                <w:kern w:val="0"/>
                <w:szCs w:val="21"/>
              </w:rPr>
              <w:t>-</w:t>
            </w:r>
            <w:r>
              <w:rPr>
                <w:rFonts w:hint="eastAsia" w:ascii="仿宋" w:hAnsi="仿宋" w:eastAsia="仿宋" w:cs="仿宋"/>
                <w:kern w:val="0"/>
                <w:szCs w:val="21"/>
                <w:lang w:val="en-US" w:eastAsia="zh-CN"/>
              </w:rPr>
              <w:t>10</w:t>
            </w:r>
            <w:r>
              <w:rPr>
                <w:rFonts w:hint="eastAsia" w:ascii="仿宋" w:hAnsi="仿宋" w:eastAsia="仿宋" w:cs="仿宋"/>
                <w:kern w:val="0"/>
                <w:szCs w:val="21"/>
              </w:rPr>
              <w:t>分；团队配置基本合理、专业覆盖面基本完整、专业水准尚可，基本满足本项目实际需求的，得</w:t>
            </w:r>
            <w:r>
              <w:rPr>
                <w:rFonts w:hint="eastAsia" w:ascii="仿宋" w:hAnsi="仿宋" w:eastAsia="仿宋" w:cs="仿宋"/>
                <w:kern w:val="0"/>
                <w:szCs w:val="21"/>
                <w:lang w:val="en-US" w:eastAsia="zh-CN"/>
              </w:rPr>
              <w:t>5</w:t>
            </w:r>
            <w:r>
              <w:rPr>
                <w:rFonts w:hint="eastAsia" w:ascii="仿宋" w:hAnsi="仿宋" w:eastAsia="仿宋" w:cs="仿宋"/>
                <w:kern w:val="0"/>
                <w:szCs w:val="21"/>
              </w:rPr>
              <w:t>-</w:t>
            </w:r>
            <w:r>
              <w:rPr>
                <w:rFonts w:hint="eastAsia" w:ascii="仿宋" w:hAnsi="仿宋" w:eastAsia="仿宋" w:cs="仿宋"/>
                <w:kern w:val="0"/>
                <w:szCs w:val="21"/>
                <w:lang w:val="en-US" w:eastAsia="zh-CN"/>
              </w:rPr>
              <w:t>7</w:t>
            </w:r>
            <w:r>
              <w:rPr>
                <w:rFonts w:hint="eastAsia" w:ascii="仿宋" w:hAnsi="仿宋" w:eastAsia="仿宋" w:cs="仿宋"/>
                <w:kern w:val="0"/>
                <w:szCs w:val="21"/>
              </w:rPr>
              <w:t>分；团队配置欠合理、专业覆盖面小，专业水准一般，得0-</w:t>
            </w:r>
            <w:r>
              <w:rPr>
                <w:rFonts w:hint="eastAsia" w:ascii="仿宋" w:hAnsi="仿宋" w:eastAsia="仿宋" w:cs="仿宋"/>
                <w:kern w:val="0"/>
                <w:szCs w:val="21"/>
                <w:lang w:val="en-US" w:eastAsia="zh-CN"/>
              </w:rPr>
              <w:t>4</w:t>
            </w:r>
            <w:r>
              <w:rPr>
                <w:rFonts w:hint="eastAsia" w:ascii="仿宋" w:hAnsi="仿宋" w:eastAsia="仿宋" w:cs="仿宋"/>
                <w:kern w:val="0"/>
                <w:szCs w:val="21"/>
              </w:rPr>
              <w:t>分。</w:t>
            </w:r>
          </w:p>
          <w:p w14:paraId="247992B0">
            <w:pPr>
              <w:widowControl/>
              <w:spacing w:line="360" w:lineRule="exact"/>
              <w:ind w:firstLine="420" w:firstLineChars="200"/>
              <w:rPr>
                <w:rFonts w:ascii="宋体" w:hAnsi="宋体" w:cs="宋体"/>
                <w:szCs w:val="21"/>
              </w:rPr>
            </w:pPr>
            <w:r>
              <w:rPr>
                <w:rFonts w:hint="eastAsia" w:ascii="仿宋" w:hAnsi="仿宋" w:eastAsia="仿宋" w:cs="仿宋"/>
                <w:kern w:val="0"/>
                <w:szCs w:val="21"/>
              </w:rPr>
              <w:t>团队配置按照项目负责人和其他技术人员配备情况进行评分。</w:t>
            </w:r>
          </w:p>
        </w:tc>
      </w:tr>
      <w:tr w14:paraId="780A01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restart"/>
            <w:tcBorders>
              <w:top w:val="single" w:color="auto" w:sz="4" w:space="0"/>
              <w:left w:val="single" w:color="auto" w:sz="4" w:space="0"/>
              <w:bottom w:val="single" w:color="auto" w:sz="4" w:space="0"/>
              <w:right w:val="single" w:color="auto" w:sz="4" w:space="0"/>
            </w:tcBorders>
            <w:vAlign w:val="center"/>
          </w:tcPr>
          <w:p w14:paraId="196317A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3.4</w:t>
            </w:r>
          </w:p>
        </w:tc>
        <w:tc>
          <w:tcPr>
            <w:tcW w:w="1154" w:type="dxa"/>
            <w:vMerge w:val="restart"/>
            <w:tcBorders>
              <w:top w:val="single" w:color="auto" w:sz="4" w:space="0"/>
              <w:left w:val="single" w:color="auto" w:sz="4" w:space="0"/>
              <w:bottom w:val="single" w:color="auto" w:sz="4" w:space="0"/>
              <w:right w:val="single" w:color="auto" w:sz="4" w:space="0"/>
            </w:tcBorders>
            <w:vAlign w:val="center"/>
          </w:tcPr>
          <w:p w14:paraId="6ABEF08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投标报价评分标准</w:t>
            </w:r>
          </w:p>
          <w:p w14:paraId="406DEAB1">
            <w:pPr>
              <w:pStyle w:val="2"/>
            </w:pPr>
            <w:r>
              <w:rPr>
                <w:rFonts w:hint="eastAsia" w:ascii="仿宋" w:hAnsi="仿宋" w:eastAsia="仿宋" w:cs="仿宋"/>
                <w:kern w:val="0"/>
                <w:szCs w:val="21"/>
              </w:rPr>
              <w:t>（30分）</w:t>
            </w:r>
          </w:p>
        </w:tc>
        <w:tc>
          <w:tcPr>
            <w:tcW w:w="2008" w:type="dxa"/>
            <w:tcBorders>
              <w:top w:val="single" w:color="auto" w:sz="4" w:space="0"/>
              <w:left w:val="single" w:color="auto" w:sz="4" w:space="0"/>
              <w:bottom w:val="single" w:color="auto" w:sz="4" w:space="0"/>
              <w:right w:val="single" w:color="auto" w:sz="4" w:space="0"/>
            </w:tcBorders>
            <w:vAlign w:val="center"/>
          </w:tcPr>
          <w:p w14:paraId="750946F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报价评分</w:t>
            </w:r>
          </w:p>
          <w:p w14:paraId="4DD68EF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（30分）</w:t>
            </w:r>
          </w:p>
        </w:tc>
        <w:tc>
          <w:tcPr>
            <w:tcW w:w="5200" w:type="dxa"/>
            <w:tcBorders>
              <w:top w:val="single" w:color="auto" w:sz="4" w:space="0"/>
              <w:left w:val="single" w:color="auto" w:sz="4" w:space="0"/>
              <w:bottom w:val="single" w:color="auto" w:sz="4" w:space="0"/>
              <w:right w:val="single" w:color="auto" w:sz="4" w:space="0"/>
            </w:tcBorders>
            <w:vAlign w:val="center"/>
          </w:tcPr>
          <w:p w14:paraId="76D26AA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对符合性评审、资格评审合格的参选人的有效投标报价平均数确定评标基准价，得出经评审的最终评标基准价，基准价计算公式：</w:t>
            </w:r>
          </w:p>
          <w:p w14:paraId="098EE26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 xml:space="preserve">S=（S1+S2+……Si-1+Si）／n  </w:t>
            </w:r>
          </w:p>
          <w:p w14:paraId="6F065FB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35012F9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Si—— 进入基准价计算的合格参选人的有效报价 (i=1,2,…,n);</w:t>
            </w:r>
          </w:p>
          <w:p w14:paraId="7754D17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4F414F2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144FFF88">
            <w:pPr>
              <w:widowControl/>
              <w:spacing w:line="360" w:lineRule="exact"/>
              <w:ind w:firstLine="422" w:firstLineChars="200"/>
              <w:rPr>
                <w:rFonts w:ascii="仿宋" w:hAnsi="仿宋" w:eastAsia="仿宋" w:cs="仿宋"/>
                <w:b/>
                <w:bCs/>
                <w:kern w:val="0"/>
                <w:szCs w:val="21"/>
              </w:rPr>
            </w:pPr>
            <w:r>
              <w:rPr>
                <w:rFonts w:hint="eastAsia" w:ascii="仿宋" w:hAnsi="仿宋" w:eastAsia="仿宋" w:cs="仿宋"/>
                <w:b/>
                <w:bCs/>
                <w:kern w:val="0"/>
                <w:szCs w:val="21"/>
              </w:rPr>
              <w:t>报价评分=30×（1-偏差率）</w:t>
            </w:r>
          </w:p>
          <w:p w14:paraId="5F2CAD35">
            <w:pPr>
              <w:pStyle w:val="18"/>
              <w:ind w:firstLine="0" w:firstLineChars="0"/>
              <w:rPr>
                <w:rFonts w:ascii="宋体" w:hAnsi="宋体" w:cs="宋体"/>
                <w:kern w:val="0"/>
                <w:szCs w:val="21"/>
              </w:rPr>
            </w:pPr>
          </w:p>
        </w:tc>
      </w:tr>
      <w:tr w14:paraId="3A2622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5" w:hRule="atLeast"/>
          <w:jc w:val="center"/>
        </w:trPr>
        <w:tc>
          <w:tcPr>
            <w:tcW w:w="1096" w:type="dxa"/>
            <w:vMerge w:val="continue"/>
            <w:tcBorders>
              <w:top w:val="single" w:color="auto" w:sz="4" w:space="0"/>
              <w:left w:val="single" w:color="auto" w:sz="4" w:space="0"/>
              <w:bottom w:val="single" w:color="auto" w:sz="4" w:space="0"/>
              <w:right w:val="single" w:color="auto" w:sz="4" w:space="0"/>
            </w:tcBorders>
            <w:vAlign w:val="center"/>
          </w:tcPr>
          <w:p w14:paraId="3756C8A5">
            <w:pPr>
              <w:widowControl/>
              <w:spacing w:line="360" w:lineRule="exact"/>
              <w:jc w:val="center"/>
              <w:rPr>
                <w:rFonts w:ascii="仿宋" w:hAnsi="仿宋" w:eastAsia="仿宋" w:cs="仿宋"/>
                <w:kern w:val="0"/>
                <w:szCs w:val="21"/>
              </w:rPr>
            </w:pPr>
          </w:p>
        </w:tc>
        <w:tc>
          <w:tcPr>
            <w:tcW w:w="1154" w:type="dxa"/>
            <w:vMerge w:val="continue"/>
            <w:tcBorders>
              <w:top w:val="single" w:color="auto" w:sz="4" w:space="0"/>
              <w:left w:val="single" w:color="auto" w:sz="4" w:space="0"/>
              <w:bottom w:val="single" w:color="auto" w:sz="4" w:space="0"/>
              <w:right w:val="single" w:color="auto" w:sz="4" w:space="0"/>
            </w:tcBorders>
            <w:vAlign w:val="center"/>
          </w:tcPr>
          <w:p w14:paraId="26641ED2">
            <w:pPr>
              <w:widowControl/>
              <w:spacing w:line="360" w:lineRule="exact"/>
              <w:jc w:val="center"/>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FBB29A9">
            <w:pPr>
              <w:widowControl/>
              <w:spacing w:line="360" w:lineRule="exact"/>
              <w:ind w:firstLine="422" w:firstLineChars="200"/>
              <w:rPr>
                <w:rFonts w:ascii="宋体" w:hAnsi="宋体" w:cs="宋体"/>
                <w:kern w:val="0"/>
                <w:szCs w:val="21"/>
              </w:rPr>
            </w:pPr>
            <w:r>
              <w:rPr>
                <w:rFonts w:hint="eastAsia" w:ascii="仿宋" w:hAnsi="仿宋" w:eastAsia="仿宋" w:cs="仿宋"/>
                <w:b/>
                <w:kern w:val="0"/>
                <w:szCs w:val="21"/>
              </w:rPr>
              <w:t>报价低于项目最高投标限价70%视为无效报价。</w:t>
            </w:r>
          </w:p>
        </w:tc>
      </w:tr>
    </w:tbl>
    <w:p w14:paraId="6EC81CE5">
      <w:pPr>
        <w:adjustRightInd w:val="0"/>
        <w:snapToGrid w:val="0"/>
        <w:spacing w:line="560" w:lineRule="exact"/>
        <w:jc w:val="center"/>
        <w:rPr>
          <w:rFonts w:ascii="Calibri" w:hAnsi="Calibri" w:eastAsia="方正小标宋简体"/>
          <w:bCs/>
          <w:kern w:val="44"/>
          <w:sz w:val="44"/>
          <w:szCs w:val="44"/>
        </w:rPr>
      </w:pPr>
    </w:p>
    <w:p w14:paraId="2182D47B">
      <w:pPr>
        <w:pStyle w:val="27"/>
        <w:rPr>
          <w:color w:val="auto"/>
        </w:rPr>
        <w:sectPr>
          <w:footerReference r:id="rId13" w:type="default"/>
          <w:pgSz w:w="11906" w:h="16838"/>
          <w:pgMar w:top="1440" w:right="1800" w:bottom="1440" w:left="1800" w:header="851" w:footer="992" w:gutter="0"/>
          <w:cols w:space="425" w:num="1"/>
          <w:docGrid w:type="lines" w:linePitch="312" w:charSpace="0"/>
        </w:sectPr>
      </w:pPr>
    </w:p>
    <w:p w14:paraId="6D767CC5">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14:paraId="268647A6">
      <w:pPr>
        <w:pStyle w:val="2"/>
        <w:rPr>
          <w:rFonts w:ascii="仿宋_GB2312" w:hAnsi="仿宋_GB2312" w:eastAsia="仿宋_GB2312" w:cs="仿宋_GB2312"/>
          <w:bCs/>
          <w:kern w:val="44"/>
          <w:sz w:val="32"/>
          <w:szCs w:val="32"/>
        </w:rPr>
      </w:pPr>
    </w:p>
    <w:p w14:paraId="79BBC5F6">
      <w:pPr>
        <w:spacing w:line="520" w:lineRule="exact"/>
        <w:jc w:val="left"/>
        <w:rPr>
          <w:b/>
          <w:sz w:val="28"/>
          <w:szCs w:val="28"/>
        </w:rPr>
      </w:pPr>
      <w:bookmarkStart w:id="5" w:name="_Toc240438383"/>
      <w:bookmarkStart w:id="6" w:name="_Toc249973247"/>
      <w:bookmarkStart w:id="7" w:name="_Toc237344644"/>
    </w:p>
    <w:p w14:paraId="588C4F21">
      <w:pPr>
        <w:spacing w:line="520" w:lineRule="exact"/>
        <w:jc w:val="left"/>
        <w:rPr>
          <w:b/>
          <w:sz w:val="28"/>
          <w:szCs w:val="28"/>
        </w:rPr>
      </w:pPr>
    </w:p>
    <w:p w14:paraId="75C68D8B">
      <w:pPr>
        <w:spacing w:line="480" w:lineRule="atLeast"/>
        <w:jc w:val="center"/>
        <w:rPr>
          <w:rFonts w:ascii="黑体" w:hAnsi="宋体" w:eastAsia="黑体"/>
          <w:b/>
          <w:color w:val="000000"/>
          <w:sz w:val="52"/>
        </w:rPr>
      </w:pPr>
      <w:r>
        <w:rPr>
          <w:rFonts w:hint="eastAsia" w:ascii="黑体" w:hAnsi="宋体" w:eastAsia="黑体"/>
          <w:b/>
          <w:color w:val="000000"/>
          <w:sz w:val="52"/>
        </w:rPr>
        <w:t xml:space="preserve"> 衡阳纺织机械厂地块产业策划和城市更新规划</w:t>
      </w:r>
    </w:p>
    <w:p w14:paraId="46222FE6">
      <w:pPr>
        <w:spacing w:line="520" w:lineRule="exact"/>
        <w:rPr>
          <w:rFonts w:ascii="方正小标宋简体" w:hAnsi="方正小标宋简体" w:eastAsia="方正小标宋简体" w:cs="方正小标宋简体"/>
          <w:bCs/>
          <w:sz w:val="44"/>
          <w:szCs w:val="44"/>
        </w:rPr>
      </w:pPr>
    </w:p>
    <w:p w14:paraId="3C8CD345">
      <w:pPr>
        <w:spacing w:line="520" w:lineRule="exact"/>
        <w:jc w:val="center"/>
        <w:rPr>
          <w:rFonts w:ascii="方正小标宋简体" w:hAnsi="方正小标宋简体" w:eastAsia="方正小标宋简体" w:cs="方正小标宋简体"/>
          <w:bCs/>
          <w:sz w:val="44"/>
          <w:szCs w:val="44"/>
        </w:rPr>
      </w:pPr>
    </w:p>
    <w:p w14:paraId="0E274086">
      <w:pPr>
        <w:spacing w:line="520" w:lineRule="exact"/>
        <w:jc w:val="left"/>
        <w:rPr>
          <w:rFonts w:ascii="方正小标宋简体" w:hAnsi="方正小标宋简体" w:eastAsia="方正小标宋简体" w:cs="方正小标宋简体"/>
          <w:bCs/>
          <w:sz w:val="28"/>
          <w:szCs w:val="28"/>
        </w:rPr>
      </w:pPr>
    </w:p>
    <w:p w14:paraId="5DF36FB9">
      <w:pPr>
        <w:spacing w:line="520" w:lineRule="exact"/>
        <w:jc w:val="left"/>
        <w:rPr>
          <w:rFonts w:ascii="方正小标宋简体" w:hAnsi="方正小标宋简体" w:eastAsia="方正小标宋简体" w:cs="方正小标宋简体"/>
          <w:bCs/>
          <w:sz w:val="28"/>
          <w:szCs w:val="28"/>
        </w:rPr>
      </w:pPr>
    </w:p>
    <w:p w14:paraId="3ECE9494">
      <w:pPr>
        <w:spacing w:line="520" w:lineRule="exact"/>
        <w:jc w:val="left"/>
        <w:rPr>
          <w:rFonts w:ascii="方正小标宋简体" w:hAnsi="方正小标宋简体" w:eastAsia="方正小标宋简体" w:cs="方正小标宋简体"/>
          <w:bCs/>
          <w:sz w:val="28"/>
          <w:szCs w:val="28"/>
        </w:rPr>
      </w:pPr>
    </w:p>
    <w:p w14:paraId="0A7C752A">
      <w:pPr>
        <w:spacing w:line="480" w:lineRule="atLeast"/>
        <w:jc w:val="center"/>
        <w:rPr>
          <w:rFonts w:ascii="黑体" w:hAnsi="宋体" w:eastAsia="黑体"/>
          <w:b/>
          <w:color w:val="000000"/>
          <w:sz w:val="52"/>
        </w:rPr>
      </w:pPr>
      <w:r>
        <w:rPr>
          <w:rFonts w:hint="eastAsia" w:ascii="黑体" w:hAnsi="宋体" w:eastAsia="黑体"/>
          <w:b/>
          <w:color w:val="000000"/>
          <w:sz w:val="52"/>
        </w:rPr>
        <w:t>合  同  书</w:t>
      </w:r>
    </w:p>
    <w:bookmarkEnd w:id="5"/>
    <w:bookmarkEnd w:id="6"/>
    <w:bookmarkEnd w:id="7"/>
    <w:p w14:paraId="64E09B0A">
      <w:pPr>
        <w:spacing w:line="640" w:lineRule="exact"/>
        <w:rPr>
          <w:sz w:val="24"/>
        </w:rPr>
      </w:pPr>
    </w:p>
    <w:p w14:paraId="48DB3798">
      <w:pPr>
        <w:spacing w:line="640" w:lineRule="exact"/>
        <w:rPr>
          <w:sz w:val="24"/>
        </w:rPr>
      </w:pPr>
    </w:p>
    <w:p w14:paraId="21F332EF">
      <w:pPr>
        <w:spacing w:line="640" w:lineRule="exact"/>
        <w:rPr>
          <w:sz w:val="24"/>
        </w:rPr>
      </w:pPr>
    </w:p>
    <w:p w14:paraId="7FE68580">
      <w:pPr>
        <w:spacing w:line="800" w:lineRule="exact"/>
        <w:ind w:left="1800" w:hanging="1800" w:hangingChars="600"/>
        <w:rPr>
          <w:sz w:val="28"/>
          <w:szCs w:val="28"/>
          <w:u w:val="single"/>
        </w:rPr>
      </w:pPr>
      <w:r>
        <w:rPr>
          <w:sz w:val="30"/>
          <w:szCs w:val="30"/>
        </w:rPr>
        <w:t>项 目 名 称</w:t>
      </w:r>
      <w:r>
        <w:rPr>
          <w:rFonts w:hint="eastAsia"/>
          <w:sz w:val="30"/>
          <w:szCs w:val="30"/>
        </w:rPr>
        <w:t>：</w:t>
      </w:r>
      <w:r>
        <w:rPr>
          <w:rFonts w:hint="eastAsia"/>
          <w:sz w:val="28"/>
          <w:szCs w:val="28"/>
          <w:u w:val="single"/>
        </w:rPr>
        <w:t xml:space="preserve">衡阳纺织机械厂地块产业策划和城市更新规划编制 </w:t>
      </w:r>
    </w:p>
    <w:p w14:paraId="19C8CBD2">
      <w:pPr>
        <w:spacing w:line="800" w:lineRule="exact"/>
        <w:rPr>
          <w:sz w:val="30"/>
          <w:szCs w:val="30"/>
        </w:rPr>
      </w:pPr>
      <w:r>
        <w:rPr>
          <w:sz w:val="30"/>
          <w:szCs w:val="30"/>
        </w:rPr>
        <w:t>项 目 地 点：</w:t>
      </w:r>
      <w:r>
        <w:rPr>
          <w:sz w:val="30"/>
          <w:szCs w:val="30"/>
          <w:u w:val="single"/>
        </w:rPr>
        <w:t xml:space="preserve">                </w:t>
      </w:r>
      <w:r>
        <w:rPr>
          <w:rFonts w:hint="eastAsia"/>
          <w:sz w:val="30"/>
          <w:szCs w:val="30"/>
          <w:u w:val="single"/>
        </w:rPr>
        <w:t>衡阳</w:t>
      </w:r>
      <w:r>
        <w:rPr>
          <w:sz w:val="30"/>
          <w:szCs w:val="30"/>
          <w:u w:val="single"/>
        </w:rPr>
        <w:t xml:space="preserve">市    </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r>
        <w:rPr>
          <w:sz w:val="30"/>
          <w:szCs w:val="30"/>
          <w:u w:val="single"/>
        </w:rPr>
        <w:t xml:space="preserve">     </w:t>
      </w:r>
    </w:p>
    <w:p w14:paraId="4BF78913">
      <w:pPr>
        <w:spacing w:line="800" w:lineRule="exact"/>
        <w:rPr>
          <w:sz w:val="30"/>
          <w:szCs w:val="30"/>
        </w:rPr>
      </w:pPr>
      <w:r>
        <w:rPr>
          <w:sz w:val="30"/>
          <w:szCs w:val="30"/>
        </w:rPr>
        <w:t>委 托 单 位：</w:t>
      </w:r>
      <w:r>
        <w:rPr>
          <w:sz w:val="30"/>
          <w:szCs w:val="30"/>
          <w:u w:val="single"/>
        </w:rPr>
        <w:t xml:space="preserve">  </w:t>
      </w:r>
      <w:r>
        <w:rPr>
          <w:rFonts w:hint="eastAsia"/>
          <w:sz w:val="30"/>
          <w:szCs w:val="30"/>
          <w:u w:val="single"/>
        </w:rPr>
        <w:t>衡阳市国有资产投资控股集团有限公司</w:t>
      </w:r>
      <w:r>
        <w:rPr>
          <w:sz w:val="30"/>
          <w:szCs w:val="30"/>
          <w:u w:val="single"/>
        </w:rPr>
        <w:t xml:space="preserve">  </w:t>
      </w:r>
      <w:r>
        <w:rPr>
          <w:rFonts w:hint="eastAsia"/>
          <w:sz w:val="30"/>
          <w:szCs w:val="30"/>
          <w:u w:val="single"/>
        </w:rPr>
        <w:t xml:space="preserve">                                       </w:t>
      </w:r>
    </w:p>
    <w:p w14:paraId="57E6C9C9">
      <w:pPr>
        <w:spacing w:line="800" w:lineRule="exact"/>
        <w:rPr>
          <w:sz w:val="30"/>
          <w:szCs w:val="30"/>
        </w:rPr>
      </w:pPr>
      <w:r>
        <w:rPr>
          <w:sz w:val="30"/>
          <w:szCs w:val="30"/>
        </w:rPr>
        <w:t>受 托 单 位：</w:t>
      </w:r>
      <w:r>
        <w:rPr>
          <w:sz w:val="30"/>
          <w:szCs w:val="30"/>
          <w:u w:val="single"/>
        </w:rPr>
        <w:t xml:space="preserve">    </w:t>
      </w:r>
      <w:r>
        <w:rPr>
          <w:rFonts w:hint="eastAsia"/>
          <w:sz w:val="30"/>
          <w:szCs w:val="30"/>
          <w:u w:val="single"/>
        </w:rPr>
        <w:t xml:space="preserve">                                 </w:t>
      </w:r>
      <w:r>
        <w:rPr>
          <w:sz w:val="30"/>
          <w:szCs w:val="30"/>
          <w:u w:val="single"/>
        </w:rPr>
        <w:t xml:space="preserve">  </w:t>
      </w:r>
      <w:r>
        <w:rPr>
          <w:rFonts w:hint="eastAsia"/>
          <w:sz w:val="30"/>
          <w:szCs w:val="30"/>
          <w:u w:val="single"/>
        </w:rPr>
        <w:t xml:space="preserve"> </w:t>
      </w:r>
      <w:r>
        <w:rPr>
          <w:sz w:val="30"/>
          <w:szCs w:val="30"/>
          <w:u w:val="single"/>
        </w:rPr>
        <w:t xml:space="preserve">   </w:t>
      </w:r>
    </w:p>
    <w:p w14:paraId="66235BC7">
      <w:pPr>
        <w:spacing w:line="800" w:lineRule="exact"/>
        <w:rPr>
          <w:sz w:val="30"/>
          <w:szCs w:val="30"/>
          <w:u w:val="single"/>
        </w:rPr>
        <w:sectPr>
          <w:headerReference r:id="rId14" w:type="default"/>
          <w:footerReference r:id="rId15" w:type="default"/>
          <w:pgSz w:w="11906" w:h="16838"/>
          <w:pgMar w:top="1440" w:right="1800" w:bottom="1440" w:left="1800" w:header="851" w:footer="992" w:gutter="0"/>
          <w:pgNumType w:fmt="numberInDash"/>
          <w:cols w:space="720" w:num="1"/>
          <w:titlePg/>
          <w:docGrid w:type="lines" w:linePitch="312" w:charSpace="0"/>
        </w:sectPr>
      </w:pPr>
      <w:r>
        <w:rPr>
          <w:sz w:val="30"/>
          <w:szCs w:val="30"/>
        </w:rPr>
        <w:t>签  订 日 期：</w:t>
      </w:r>
      <w:r>
        <w:rPr>
          <w:sz w:val="30"/>
          <w:szCs w:val="30"/>
          <w:u w:val="single"/>
        </w:rPr>
        <w:t xml:space="preserve">    </w:t>
      </w:r>
      <w:r>
        <w:rPr>
          <w:rFonts w:hint="eastAsia"/>
          <w:sz w:val="30"/>
          <w:szCs w:val="30"/>
          <w:u w:val="single"/>
        </w:rPr>
        <w:t xml:space="preserve"> </w:t>
      </w:r>
      <w:r>
        <w:rPr>
          <w:sz w:val="30"/>
          <w:szCs w:val="30"/>
          <w:u w:val="single"/>
        </w:rPr>
        <w:t xml:space="preserve">    </w:t>
      </w:r>
      <w:r>
        <w:rPr>
          <w:rFonts w:hint="eastAsia"/>
          <w:sz w:val="30"/>
          <w:szCs w:val="30"/>
          <w:u w:val="single"/>
        </w:rPr>
        <w:t xml:space="preserve">  2025</w:t>
      </w:r>
      <w:r>
        <w:rPr>
          <w:sz w:val="30"/>
          <w:szCs w:val="30"/>
          <w:u w:val="single"/>
        </w:rPr>
        <w:t xml:space="preserve"> 年   月   日         </w:t>
      </w:r>
      <w:r>
        <w:rPr>
          <w:rFonts w:hint="eastAsia"/>
          <w:sz w:val="30"/>
          <w:szCs w:val="30"/>
          <w:u w:val="single"/>
        </w:rPr>
        <w:t xml:space="preserve"> </w:t>
      </w:r>
      <w:r>
        <w:rPr>
          <w:sz w:val="30"/>
          <w:szCs w:val="30"/>
          <w:u w:val="single"/>
        </w:rPr>
        <w:t xml:space="preserve">   </w:t>
      </w:r>
    </w:p>
    <w:p w14:paraId="02739594">
      <w:pPr>
        <w:spacing w:line="360" w:lineRule="auto"/>
        <w:rPr>
          <w:rFonts w:eastAsia="仿宋"/>
          <w:sz w:val="32"/>
          <w:szCs w:val="32"/>
        </w:rPr>
      </w:pPr>
      <w:r>
        <w:rPr>
          <w:rFonts w:eastAsia="仿宋"/>
          <w:sz w:val="32"/>
          <w:szCs w:val="32"/>
        </w:rPr>
        <w:t xml:space="preserve">委托单位（甲方）：         </w:t>
      </w:r>
    </w:p>
    <w:p w14:paraId="7CC598C3">
      <w:pPr>
        <w:spacing w:line="360" w:lineRule="auto"/>
        <w:rPr>
          <w:rFonts w:eastAsia="仿宋"/>
          <w:sz w:val="32"/>
          <w:szCs w:val="32"/>
        </w:rPr>
      </w:pPr>
      <w:r>
        <w:rPr>
          <w:rFonts w:eastAsia="仿宋"/>
          <w:sz w:val="32"/>
          <w:szCs w:val="32"/>
        </w:rPr>
        <w:t>受托单位</w:t>
      </w:r>
      <w:r>
        <w:rPr>
          <w:rFonts w:hint="eastAsia" w:eastAsia="仿宋"/>
          <w:sz w:val="32"/>
          <w:szCs w:val="32"/>
        </w:rPr>
        <w:t>（一方）</w:t>
      </w:r>
      <w:r>
        <w:rPr>
          <w:rFonts w:eastAsia="仿宋"/>
          <w:sz w:val="32"/>
          <w:szCs w:val="32"/>
        </w:rPr>
        <w:t xml:space="preserve">：  </w:t>
      </w:r>
    </w:p>
    <w:p w14:paraId="42D36270">
      <w:pPr>
        <w:spacing w:line="600" w:lineRule="exact"/>
        <w:ind w:firstLine="640" w:firstLineChars="200"/>
        <w:rPr>
          <w:rFonts w:eastAsia="仿宋"/>
          <w:sz w:val="32"/>
          <w:szCs w:val="32"/>
        </w:rPr>
      </w:pPr>
      <w:r>
        <w:rPr>
          <w:rFonts w:eastAsia="仿宋"/>
          <w:sz w:val="32"/>
          <w:szCs w:val="32"/>
        </w:rPr>
        <w:t>为明确双方的权利、义务，依照《中华人民共和国民法典》等相关法律法规，遵循诚实、诚信、公平和自愿原则，甲方委托乙方</w:t>
      </w:r>
      <w:r>
        <w:rPr>
          <w:rFonts w:hint="eastAsia" w:eastAsia="仿宋"/>
          <w:sz w:val="32"/>
          <w:szCs w:val="32"/>
        </w:rPr>
        <w:t>开展《衡阳纺织机械厂地块产业策划和城市更新规划》编制</w:t>
      </w:r>
      <w:r>
        <w:rPr>
          <w:rFonts w:eastAsia="仿宋"/>
          <w:sz w:val="32"/>
          <w:szCs w:val="32"/>
        </w:rPr>
        <w:t>，现经双方协商一致，订立本合同。</w:t>
      </w:r>
    </w:p>
    <w:p w14:paraId="245151A9">
      <w:pPr>
        <w:spacing w:line="60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第一条  规划依据</w:t>
      </w:r>
    </w:p>
    <w:p w14:paraId="32296D2F">
      <w:pPr>
        <w:spacing w:line="600" w:lineRule="exact"/>
        <w:ind w:firstLine="640" w:firstLineChars="200"/>
        <w:rPr>
          <w:rFonts w:eastAsia="仿宋"/>
          <w:sz w:val="32"/>
          <w:szCs w:val="32"/>
        </w:rPr>
      </w:pPr>
      <w:r>
        <w:rPr>
          <w:rFonts w:eastAsia="仿宋"/>
          <w:sz w:val="32"/>
          <w:szCs w:val="32"/>
        </w:rPr>
        <w:t>1.1《中华人民共和国民法典》；</w:t>
      </w:r>
    </w:p>
    <w:p w14:paraId="6EA8FC3B">
      <w:pPr>
        <w:spacing w:line="600" w:lineRule="exact"/>
        <w:ind w:firstLine="640" w:firstLineChars="200"/>
        <w:rPr>
          <w:rFonts w:eastAsia="仿宋"/>
          <w:sz w:val="32"/>
          <w:szCs w:val="32"/>
        </w:rPr>
      </w:pPr>
      <w:r>
        <w:rPr>
          <w:rFonts w:eastAsia="仿宋"/>
          <w:sz w:val="32"/>
          <w:szCs w:val="32"/>
        </w:rPr>
        <w:t>1.</w:t>
      </w:r>
      <w:r>
        <w:rPr>
          <w:rFonts w:hint="eastAsia" w:eastAsia="仿宋"/>
          <w:sz w:val="32"/>
          <w:szCs w:val="32"/>
        </w:rPr>
        <w:t>2《支持城市更新的规划与土地政策指引（</w:t>
      </w:r>
      <w:r>
        <w:rPr>
          <w:rFonts w:eastAsia="仿宋"/>
          <w:sz w:val="32"/>
          <w:szCs w:val="32"/>
        </w:rPr>
        <w:t>2023版）》的通知</w:t>
      </w:r>
      <w:r>
        <w:rPr>
          <w:rFonts w:hint="eastAsia" w:eastAsia="仿宋"/>
          <w:sz w:val="32"/>
          <w:szCs w:val="32"/>
        </w:rPr>
        <w:t>；</w:t>
      </w:r>
    </w:p>
    <w:p w14:paraId="64B46391">
      <w:pPr>
        <w:spacing w:line="600" w:lineRule="exact"/>
        <w:ind w:firstLine="640" w:firstLineChars="200"/>
      </w:pPr>
      <w:r>
        <w:rPr>
          <w:rFonts w:eastAsia="仿宋"/>
          <w:sz w:val="32"/>
          <w:szCs w:val="32"/>
        </w:rPr>
        <w:t>1.</w:t>
      </w:r>
      <w:r>
        <w:rPr>
          <w:rFonts w:hint="eastAsia" w:eastAsia="仿宋"/>
          <w:sz w:val="32"/>
          <w:szCs w:val="32"/>
        </w:rPr>
        <w:t>3</w:t>
      </w:r>
      <w:r>
        <w:rPr>
          <w:rFonts w:eastAsia="仿宋"/>
          <w:sz w:val="32"/>
          <w:szCs w:val="32"/>
        </w:rPr>
        <w:t>《中华人民共和国城乡规划法》（2019年修订）；</w:t>
      </w:r>
    </w:p>
    <w:p w14:paraId="319C845A">
      <w:pPr>
        <w:spacing w:line="600" w:lineRule="exact"/>
        <w:ind w:firstLine="640" w:firstLineChars="200"/>
        <w:rPr>
          <w:rFonts w:eastAsia="仿宋"/>
          <w:sz w:val="32"/>
          <w:szCs w:val="32"/>
        </w:rPr>
      </w:pPr>
      <w:r>
        <w:rPr>
          <w:rFonts w:eastAsia="仿宋"/>
          <w:sz w:val="32"/>
          <w:szCs w:val="32"/>
        </w:rPr>
        <w:t>1.4</w:t>
      </w:r>
      <w:r>
        <w:rPr>
          <w:rFonts w:hint="eastAsia" w:eastAsia="仿宋"/>
          <w:sz w:val="32"/>
          <w:szCs w:val="32"/>
        </w:rPr>
        <w:t>《中华人民共和国土地管理发》</w:t>
      </w:r>
      <w:r>
        <w:rPr>
          <w:rFonts w:eastAsia="仿宋"/>
          <w:sz w:val="32"/>
          <w:szCs w:val="32"/>
        </w:rPr>
        <w:t>（2019年修订）</w:t>
      </w:r>
      <w:r>
        <w:rPr>
          <w:rFonts w:hint="eastAsia" w:eastAsia="仿宋"/>
          <w:sz w:val="32"/>
          <w:szCs w:val="32"/>
        </w:rPr>
        <w:t>；</w:t>
      </w:r>
    </w:p>
    <w:p w14:paraId="5694FFB8">
      <w:pPr>
        <w:spacing w:line="600" w:lineRule="exact"/>
        <w:ind w:firstLine="640" w:firstLineChars="200"/>
        <w:rPr>
          <w:rFonts w:eastAsia="仿宋"/>
          <w:sz w:val="32"/>
          <w:szCs w:val="32"/>
        </w:rPr>
      </w:pPr>
      <w:r>
        <w:rPr>
          <w:rFonts w:eastAsia="仿宋"/>
          <w:sz w:val="32"/>
          <w:szCs w:val="32"/>
        </w:rPr>
        <w:t>1.</w:t>
      </w:r>
      <w:r>
        <w:rPr>
          <w:rFonts w:hint="eastAsia" w:eastAsia="仿宋"/>
          <w:sz w:val="32"/>
          <w:szCs w:val="32"/>
        </w:rPr>
        <w:t>5</w:t>
      </w:r>
      <w:r>
        <w:rPr>
          <w:rFonts w:eastAsia="仿宋"/>
          <w:sz w:val="32"/>
          <w:szCs w:val="32"/>
        </w:rPr>
        <w:t>国家及地方有关专项规划的法规、规章、规范；</w:t>
      </w:r>
    </w:p>
    <w:p w14:paraId="66D6F205">
      <w:pPr>
        <w:spacing w:line="600" w:lineRule="exact"/>
        <w:ind w:firstLine="640" w:firstLineChars="200"/>
        <w:rPr>
          <w:rFonts w:eastAsia="仿宋"/>
          <w:sz w:val="32"/>
          <w:szCs w:val="32"/>
        </w:rPr>
      </w:pPr>
      <w:r>
        <w:rPr>
          <w:rFonts w:eastAsia="仿宋"/>
          <w:sz w:val="32"/>
          <w:szCs w:val="32"/>
        </w:rPr>
        <w:t>1.</w:t>
      </w:r>
      <w:r>
        <w:rPr>
          <w:rFonts w:hint="eastAsia" w:eastAsia="仿宋"/>
          <w:sz w:val="32"/>
          <w:szCs w:val="32"/>
        </w:rPr>
        <w:t>6</w:t>
      </w:r>
      <w:r>
        <w:rPr>
          <w:rFonts w:eastAsia="仿宋"/>
          <w:sz w:val="32"/>
          <w:szCs w:val="32"/>
        </w:rPr>
        <w:t>上级主管部门同意</w:t>
      </w:r>
      <w:r>
        <w:rPr>
          <w:rFonts w:hint="eastAsia" w:eastAsia="仿宋"/>
          <w:sz w:val="32"/>
          <w:szCs w:val="32"/>
        </w:rPr>
        <w:t>研究</w:t>
      </w:r>
      <w:r>
        <w:rPr>
          <w:rFonts w:eastAsia="仿宋"/>
          <w:sz w:val="32"/>
          <w:szCs w:val="32"/>
        </w:rPr>
        <w:t>编制的批准文件。</w:t>
      </w:r>
    </w:p>
    <w:p w14:paraId="70D7438F">
      <w:pPr>
        <w:spacing w:line="60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第二条  研究依据</w:t>
      </w:r>
    </w:p>
    <w:p w14:paraId="040F272D">
      <w:pPr>
        <w:spacing w:line="600" w:lineRule="exact"/>
        <w:ind w:firstLine="640" w:firstLineChars="200"/>
        <w:rPr>
          <w:rFonts w:eastAsia="仿宋"/>
          <w:sz w:val="32"/>
          <w:szCs w:val="32"/>
        </w:rPr>
      </w:pPr>
      <w:r>
        <w:rPr>
          <w:rFonts w:eastAsia="仿宋"/>
          <w:sz w:val="32"/>
          <w:szCs w:val="32"/>
        </w:rPr>
        <w:t>2.1中标通知书</w:t>
      </w:r>
      <w:r>
        <w:rPr>
          <w:rFonts w:hint="eastAsia" w:eastAsia="仿宋"/>
          <w:sz w:val="32"/>
          <w:szCs w:val="32"/>
        </w:rPr>
        <w:t>（如有）</w:t>
      </w:r>
      <w:r>
        <w:rPr>
          <w:rFonts w:eastAsia="仿宋"/>
          <w:sz w:val="32"/>
          <w:szCs w:val="32"/>
        </w:rPr>
        <w:t>、</w:t>
      </w:r>
      <w:r>
        <w:rPr>
          <w:rFonts w:hint="eastAsia" w:eastAsia="仿宋"/>
          <w:sz w:val="32"/>
          <w:szCs w:val="32"/>
        </w:rPr>
        <w:t>设计</w:t>
      </w:r>
      <w:r>
        <w:rPr>
          <w:rFonts w:eastAsia="仿宋"/>
          <w:sz w:val="32"/>
          <w:szCs w:val="32"/>
        </w:rPr>
        <w:t>任务书；</w:t>
      </w:r>
    </w:p>
    <w:p w14:paraId="10DB6608">
      <w:pPr>
        <w:spacing w:line="600" w:lineRule="exact"/>
        <w:ind w:firstLine="640" w:firstLineChars="200"/>
        <w:rPr>
          <w:rFonts w:eastAsia="仿宋"/>
          <w:sz w:val="32"/>
          <w:szCs w:val="32"/>
        </w:rPr>
      </w:pPr>
      <w:r>
        <w:rPr>
          <w:rFonts w:eastAsia="仿宋"/>
          <w:sz w:val="32"/>
          <w:szCs w:val="32"/>
        </w:rPr>
        <w:t>2.2甲方提交的基础数据及其他前期资料等；</w:t>
      </w:r>
    </w:p>
    <w:p w14:paraId="5AF5F1EF">
      <w:pPr>
        <w:spacing w:line="600" w:lineRule="exact"/>
        <w:ind w:firstLine="640" w:firstLineChars="200"/>
        <w:rPr>
          <w:rFonts w:eastAsia="仿宋"/>
          <w:sz w:val="32"/>
          <w:szCs w:val="32"/>
        </w:rPr>
      </w:pPr>
      <w:r>
        <w:rPr>
          <w:rFonts w:eastAsia="仿宋"/>
          <w:sz w:val="32"/>
          <w:szCs w:val="32"/>
        </w:rPr>
        <w:t>2.3乙方采用的主要技术标准：国家及项目地区现行相关的规范、规程、标准。</w:t>
      </w:r>
    </w:p>
    <w:p w14:paraId="5AF18858">
      <w:pPr>
        <w:spacing w:line="58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第三条 本合同研究项目的名称、范围、内容和深度</w:t>
      </w:r>
    </w:p>
    <w:p w14:paraId="306A3CDC">
      <w:pPr>
        <w:adjustRightInd w:val="0"/>
        <w:snapToGrid w:val="0"/>
        <w:spacing w:line="580" w:lineRule="exact"/>
        <w:ind w:firstLine="640" w:firstLineChars="200"/>
        <w:rPr>
          <w:rFonts w:eastAsia="仿宋"/>
          <w:sz w:val="32"/>
          <w:szCs w:val="32"/>
        </w:rPr>
      </w:pPr>
      <w:r>
        <w:rPr>
          <w:rFonts w:eastAsia="仿宋"/>
          <w:sz w:val="32"/>
          <w:szCs w:val="32"/>
        </w:rPr>
        <w:t>3.1项目名称：</w:t>
      </w:r>
      <w:r>
        <w:rPr>
          <w:rFonts w:hint="eastAsia" w:eastAsia="仿宋"/>
          <w:sz w:val="32"/>
          <w:szCs w:val="32"/>
        </w:rPr>
        <w:t>衡阳纺织机械厂地块产业策划和城市更新规划编制</w:t>
      </w:r>
    </w:p>
    <w:p w14:paraId="68537C56">
      <w:pPr>
        <w:adjustRightInd w:val="0"/>
        <w:snapToGrid w:val="0"/>
        <w:spacing w:line="580" w:lineRule="exact"/>
        <w:ind w:firstLine="640" w:firstLineChars="200"/>
        <w:rPr>
          <w:rFonts w:eastAsia="仿宋"/>
          <w:sz w:val="32"/>
          <w:szCs w:val="32"/>
        </w:rPr>
      </w:pPr>
      <w:r>
        <w:rPr>
          <w:rFonts w:eastAsia="仿宋"/>
          <w:sz w:val="32"/>
          <w:szCs w:val="32"/>
        </w:rPr>
        <w:t>3.2项目地点</w:t>
      </w:r>
      <w:r>
        <w:rPr>
          <w:rFonts w:eastAsia="仿宋"/>
          <w:sz w:val="32"/>
          <w:szCs w:val="32"/>
          <w:lang w:val="zh-CN"/>
        </w:rPr>
        <w:t>：</w:t>
      </w:r>
      <w:r>
        <w:rPr>
          <w:rFonts w:hint="eastAsia" w:eastAsia="仿宋"/>
          <w:sz w:val="32"/>
          <w:szCs w:val="32"/>
        </w:rPr>
        <w:t xml:space="preserve">衡阳市 </w:t>
      </w:r>
    </w:p>
    <w:p w14:paraId="3A36715A">
      <w:pPr>
        <w:adjustRightInd w:val="0"/>
        <w:snapToGrid w:val="0"/>
        <w:spacing w:line="580" w:lineRule="exact"/>
        <w:ind w:firstLine="640" w:firstLineChars="200"/>
        <w:rPr>
          <w:rFonts w:eastAsia="仿宋"/>
          <w:sz w:val="32"/>
          <w:szCs w:val="32"/>
        </w:rPr>
      </w:pPr>
      <w:r>
        <w:rPr>
          <w:rFonts w:eastAsia="仿宋"/>
          <w:sz w:val="32"/>
          <w:szCs w:val="32"/>
        </w:rPr>
        <w:t>3.3</w:t>
      </w:r>
      <w:r>
        <w:rPr>
          <w:rFonts w:hint="eastAsia" w:eastAsia="仿宋"/>
          <w:sz w:val="32"/>
          <w:szCs w:val="32"/>
        </w:rPr>
        <w:t>研究</w:t>
      </w:r>
      <w:r>
        <w:rPr>
          <w:rFonts w:eastAsia="仿宋"/>
          <w:sz w:val="32"/>
          <w:szCs w:val="32"/>
        </w:rPr>
        <w:t>范围：</w:t>
      </w:r>
      <w:r>
        <w:rPr>
          <w:rFonts w:hint="eastAsia" w:eastAsia="仿宋"/>
          <w:sz w:val="32"/>
          <w:szCs w:val="32"/>
        </w:rPr>
        <w:t>位于衡阳市雁峰区，规划范围位于白沙大道以东，白沙廉租房以北，雁南家园、白沙洲寒婆坳2期以东的衡阳纺织机械厂区域，总面积约173406.6平方米（17.3公顷）。</w:t>
      </w:r>
    </w:p>
    <w:p w14:paraId="28171461">
      <w:pPr>
        <w:adjustRightInd w:val="0"/>
        <w:snapToGrid w:val="0"/>
        <w:spacing w:line="580" w:lineRule="exact"/>
        <w:ind w:firstLine="640" w:firstLineChars="200"/>
        <w:rPr>
          <w:rFonts w:eastAsia="仿宋"/>
          <w:sz w:val="32"/>
          <w:szCs w:val="32"/>
          <w:lang w:val="zh-CN"/>
        </w:rPr>
      </w:pPr>
      <w:r>
        <w:rPr>
          <w:rFonts w:eastAsia="仿宋"/>
          <w:sz w:val="32"/>
          <w:szCs w:val="32"/>
        </w:rPr>
        <w:t>3.4内容和深度</w:t>
      </w:r>
      <w:r>
        <w:rPr>
          <w:rFonts w:eastAsia="仿宋"/>
          <w:sz w:val="32"/>
          <w:szCs w:val="32"/>
          <w:lang w:val="zh-CN"/>
        </w:rPr>
        <w:t>：</w:t>
      </w:r>
      <w:r>
        <w:rPr>
          <w:rFonts w:eastAsia="仿宋"/>
          <w:sz w:val="32"/>
          <w:szCs w:val="32"/>
        </w:rPr>
        <w:t>按湖南省、</w:t>
      </w:r>
      <w:r>
        <w:rPr>
          <w:rFonts w:hint="eastAsia" w:eastAsia="仿宋"/>
          <w:sz w:val="32"/>
          <w:szCs w:val="32"/>
        </w:rPr>
        <w:t>衡阳市</w:t>
      </w:r>
      <w:r>
        <w:rPr>
          <w:rFonts w:eastAsia="仿宋"/>
          <w:sz w:val="32"/>
          <w:szCs w:val="32"/>
        </w:rPr>
        <w:t xml:space="preserve">相关政策和要求执行。  </w:t>
      </w:r>
    </w:p>
    <w:p w14:paraId="767CA7FA">
      <w:pPr>
        <w:spacing w:line="58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第四条 甲方应向乙方提交的有关资料及文件：</w:t>
      </w:r>
    </w:p>
    <w:p w14:paraId="67E88433">
      <w:pPr>
        <w:spacing w:line="600" w:lineRule="exact"/>
        <w:ind w:firstLine="640" w:firstLineChars="200"/>
        <w:rPr>
          <w:rFonts w:eastAsia="仿宋"/>
          <w:sz w:val="32"/>
          <w:szCs w:val="32"/>
        </w:rPr>
      </w:pPr>
      <w:r>
        <w:rPr>
          <w:rFonts w:hint="eastAsia" w:eastAsia="仿宋"/>
          <w:sz w:val="32"/>
          <w:szCs w:val="32"/>
        </w:rPr>
        <w:t>4.1任务委托文件（含补充、修改文件）</w:t>
      </w:r>
    </w:p>
    <w:p w14:paraId="61E3BCD1">
      <w:pPr>
        <w:pStyle w:val="2"/>
        <w:ind w:firstLine="640"/>
        <w:rPr>
          <w:rFonts w:eastAsia="仿宋"/>
          <w:sz w:val="32"/>
          <w:szCs w:val="32"/>
        </w:rPr>
      </w:pPr>
      <w:r>
        <w:rPr>
          <w:rFonts w:hint="eastAsia" w:eastAsia="仿宋"/>
          <w:sz w:val="32"/>
          <w:szCs w:val="32"/>
        </w:rPr>
        <w:t>4.2与签订合同有关的会议纪要等其他文件</w:t>
      </w:r>
    </w:p>
    <w:p w14:paraId="67D1A95C">
      <w:pPr>
        <w:pStyle w:val="2"/>
        <w:ind w:firstLine="640"/>
        <w:rPr>
          <w:rFonts w:eastAsia="仿宋"/>
          <w:sz w:val="32"/>
          <w:szCs w:val="32"/>
        </w:rPr>
      </w:pPr>
      <w:r>
        <w:rPr>
          <w:rFonts w:hint="eastAsia" w:eastAsia="仿宋"/>
          <w:sz w:val="32"/>
          <w:szCs w:val="32"/>
        </w:rPr>
        <w:t>4.3甲方应向乙方提交的有关基础资料及文件</w:t>
      </w:r>
    </w:p>
    <w:p w14:paraId="4A226494">
      <w:pPr>
        <w:spacing w:line="600" w:lineRule="exact"/>
        <w:ind w:firstLine="640" w:firstLineChars="200"/>
        <w:rPr>
          <w:rFonts w:eastAsia="仿宋"/>
          <w:sz w:val="32"/>
          <w:szCs w:val="32"/>
        </w:rPr>
      </w:pPr>
      <w:r>
        <w:rPr>
          <w:rFonts w:eastAsia="仿宋"/>
          <w:sz w:val="32"/>
          <w:szCs w:val="32"/>
        </w:rPr>
        <w:t>具体如下：</w:t>
      </w:r>
    </w:p>
    <w:tbl>
      <w:tblPr>
        <w:tblStyle w:val="20"/>
        <w:tblW w:w="8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935"/>
        <w:gridCol w:w="965"/>
        <w:gridCol w:w="1673"/>
        <w:gridCol w:w="1429"/>
      </w:tblGrid>
      <w:tr w14:paraId="2650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51" w:type="dxa"/>
            <w:vAlign w:val="center"/>
          </w:tcPr>
          <w:p w14:paraId="3DEEB98F">
            <w:pPr>
              <w:spacing w:line="360" w:lineRule="auto"/>
              <w:jc w:val="center"/>
              <w:rPr>
                <w:rFonts w:eastAsia="仿宋"/>
                <w:b/>
                <w:sz w:val="28"/>
                <w:szCs w:val="28"/>
              </w:rPr>
            </w:pPr>
            <w:r>
              <w:rPr>
                <w:rFonts w:eastAsia="仿宋"/>
                <w:b/>
                <w:sz w:val="28"/>
                <w:szCs w:val="28"/>
              </w:rPr>
              <w:t>序号</w:t>
            </w:r>
          </w:p>
        </w:tc>
        <w:tc>
          <w:tcPr>
            <w:tcW w:w="3935" w:type="dxa"/>
            <w:vAlign w:val="center"/>
          </w:tcPr>
          <w:p w14:paraId="755C5539">
            <w:pPr>
              <w:spacing w:line="360" w:lineRule="auto"/>
              <w:jc w:val="center"/>
              <w:rPr>
                <w:rFonts w:eastAsia="仿宋"/>
                <w:b/>
                <w:sz w:val="28"/>
                <w:szCs w:val="28"/>
              </w:rPr>
            </w:pPr>
            <w:r>
              <w:rPr>
                <w:rFonts w:eastAsia="仿宋"/>
                <w:b/>
                <w:sz w:val="28"/>
                <w:szCs w:val="28"/>
              </w:rPr>
              <w:t>资料及文件名称</w:t>
            </w:r>
          </w:p>
        </w:tc>
        <w:tc>
          <w:tcPr>
            <w:tcW w:w="965" w:type="dxa"/>
            <w:vAlign w:val="center"/>
          </w:tcPr>
          <w:p w14:paraId="70CC6477">
            <w:pPr>
              <w:spacing w:line="360" w:lineRule="auto"/>
              <w:jc w:val="center"/>
              <w:rPr>
                <w:rFonts w:eastAsia="仿宋"/>
                <w:b/>
                <w:sz w:val="28"/>
                <w:szCs w:val="28"/>
              </w:rPr>
            </w:pPr>
            <w:r>
              <w:rPr>
                <w:rFonts w:eastAsia="仿宋"/>
                <w:b/>
                <w:sz w:val="28"/>
                <w:szCs w:val="28"/>
              </w:rPr>
              <w:t>份数</w:t>
            </w:r>
          </w:p>
        </w:tc>
        <w:tc>
          <w:tcPr>
            <w:tcW w:w="1673" w:type="dxa"/>
            <w:vAlign w:val="center"/>
          </w:tcPr>
          <w:p w14:paraId="0AEBE499">
            <w:pPr>
              <w:spacing w:line="360" w:lineRule="auto"/>
              <w:jc w:val="center"/>
              <w:rPr>
                <w:rFonts w:eastAsia="仿宋"/>
                <w:b/>
                <w:sz w:val="28"/>
                <w:szCs w:val="28"/>
              </w:rPr>
            </w:pPr>
            <w:r>
              <w:rPr>
                <w:rFonts w:eastAsia="仿宋"/>
                <w:b/>
                <w:sz w:val="28"/>
                <w:szCs w:val="28"/>
              </w:rPr>
              <w:t>提交日期</w:t>
            </w:r>
          </w:p>
        </w:tc>
        <w:tc>
          <w:tcPr>
            <w:tcW w:w="1429" w:type="dxa"/>
            <w:vAlign w:val="center"/>
          </w:tcPr>
          <w:p w14:paraId="2B344FA3">
            <w:pPr>
              <w:spacing w:line="360" w:lineRule="auto"/>
              <w:jc w:val="center"/>
              <w:rPr>
                <w:rFonts w:eastAsia="仿宋"/>
                <w:b/>
                <w:sz w:val="28"/>
                <w:szCs w:val="28"/>
              </w:rPr>
            </w:pPr>
            <w:r>
              <w:rPr>
                <w:rFonts w:eastAsia="仿宋"/>
                <w:b/>
                <w:sz w:val="28"/>
                <w:szCs w:val="28"/>
              </w:rPr>
              <w:t>相关事宜</w:t>
            </w:r>
          </w:p>
        </w:tc>
      </w:tr>
      <w:tr w14:paraId="0B17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51" w:type="dxa"/>
            <w:vAlign w:val="center"/>
          </w:tcPr>
          <w:p w14:paraId="1FB5D571">
            <w:pPr>
              <w:spacing w:line="400" w:lineRule="exact"/>
              <w:jc w:val="center"/>
              <w:rPr>
                <w:rFonts w:eastAsia="仿宋"/>
                <w:sz w:val="28"/>
                <w:szCs w:val="28"/>
              </w:rPr>
            </w:pPr>
            <w:r>
              <w:rPr>
                <w:rFonts w:eastAsia="仿宋"/>
                <w:sz w:val="28"/>
                <w:szCs w:val="28"/>
              </w:rPr>
              <w:t>1</w:t>
            </w:r>
          </w:p>
        </w:tc>
        <w:tc>
          <w:tcPr>
            <w:tcW w:w="3935" w:type="dxa"/>
            <w:vAlign w:val="center"/>
          </w:tcPr>
          <w:p w14:paraId="3C213E2E">
            <w:pPr>
              <w:spacing w:line="400" w:lineRule="exact"/>
              <w:jc w:val="left"/>
              <w:rPr>
                <w:rFonts w:eastAsia="仿宋"/>
                <w:sz w:val="28"/>
                <w:szCs w:val="28"/>
              </w:rPr>
            </w:pPr>
            <w:r>
              <w:rPr>
                <w:rFonts w:eastAsia="仿宋"/>
                <w:sz w:val="28"/>
                <w:szCs w:val="28"/>
                <w:lang w:val="zh-CN"/>
              </w:rPr>
              <w:t>基础数据与资料</w:t>
            </w:r>
          </w:p>
        </w:tc>
        <w:tc>
          <w:tcPr>
            <w:tcW w:w="965" w:type="dxa"/>
            <w:vAlign w:val="center"/>
          </w:tcPr>
          <w:p w14:paraId="5BA81EC4">
            <w:pPr>
              <w:spacing w:line="400" w:lineRule="exact"/>
              <w:jc w:val="center"/>
              <w:rPr>
                <w:rFonts w:eastAsia="仿宋"/>
                <w:sz w:val="28"/>
                <w:szCs w:val="28"/>
              </w:rPr>
            </w:pPr>
            <w:r>
              <w:rPr>
                <w:rFonts w:hint="eastAsia" w:eastAsia="仿宋"/>
                <w:sz w:val="28"/>
                <w:szCs w:val="28"/>
              </w:rPr>
              <w:t>若干</w:t>
            </w:r>
          </w:p>
        </w:tc>
        <w:tc>
          <w:tcPr>
            <w:tcW w:w="1673" w:type="dxa"/>
            <w:vAlign w:val="center"/>
          </w:tcPr>
          <w:p w14:paraId="50DA4DD7">
            <w:pPr>
              <w:spacing w:line="400" w:lineRule="exact"/>
              <w:jc w:val="center"/>
              <w:rPr>
                <w:rFonts w:eastAsia="仿宋"/>
                <w:sz w:val="28"/>
                <w:szCs w:val="28"/>
              </w:rPr>
            </w:pPr>
            <w:r>
              <w:rPr>
                <w:rFonts w:eastAsia="仿宋"/>
                <w:sz w:val="28"/>
                <w:szCs w:val="28"/>
              </w:rPr>
              <w:t>签订合同后</w:t>
            </w:r>
            <w:r>
              <w:rPr>
                <w:rFonts w:hint="eastAsia" w:eastAsia="仿宋"/>
                <w:sz w:val="28"/>
                <w:szCs w:val="28"/>
              </w:rPr>
              <w:t>15</w:t>
            </w:r>
            <w:r>
              <w:rPr>
                <w:rFonts w:eastAsia="仿宋"/>
                <w:sz w:val="28"/>
                <w:szCs w:val="28"/>
              </w:rPr>
              <w:t>日内</w:t>
            </w:r>
          </w:p>
        </w:tc>
        <w:tc>
          <w:tcPr>
            <w:tcW w:w="1429" w:type="dxa"/>
            <w:vMerge w:val="restart"/>
            <w:vAlign w:val="center"/>
          </w:tcPr>
          <w:p w14:paraId="245B1C83">
            <w:pPr>
              <w:spacing w:line="400" w:lineRule="exact"/>
              <w:jc w:val="center"/>
              <w:rPr>
                <w:rFonts w:eastAsia="仿宋"/>
                <w:sz w:val="28"/>
                <w:szCs w:val="28"/>
              </w:rPr>
            </w:pPr>
            <w:r>
              <w:rPr>
                <w:rFonts w:hint="eastAsia" w:eastAsia="仿宋"/>
                <w:sz w:val="28"/>
                <w:szCs w:val="28"/>
              </w:rPr>
              <w:t>光盘、文本，详见基础资料调查清单</w:t>
            </w:r>
          </w:p>
        </w:tc>
      </w:tr>
      <w:tr w14:paraId="6345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851" w:type="dxa"/>
            <w:vAlign w:val="center"/>
          </w:tcPr>
          <w:p w14:paraId="76915D96">
            <w:pPr>
              <w:spacing w:line="400" w:lineRule="exact"/>
              <w:jc w:val="center"/>
              <w:rPr>
                <w:rFonts w:eastAsia="仿宋"/>
                <w:sz w:val="28"/>
                <w:szCs w:val="28"/>
              </w:rPr>
            </w:pPr>
            <w:r>
              <w:rPr>
                <w:rFonts w:hint="eastAsia" w:eastAsia="仿宋"/>
                <w:sz w:val="28"/>
                <w:szCs w:val="28"/>
              </w:rPr>
              <w:t>2</w:t>
            </w:r>
          </w:p>
        </w:tc>
        <w:tc>
          <w:tcPr>
            <w:tcW w:w="3935" w:type="dxa"/>
            <w:vAlign w:val="center"/>
          </w:tcPr>
          <w:p w14:paraId="6F822456">
            <w:pPr>
              <w:spacing w:line="400" w:lineRule="exact"/>
              <w:jc w:val="left"/>
              <w:rPr>
                <w:rFonts w:eastAsia="仿宋"/>
                <w:sz w:val="28"/>
                <w:szCs w:val="28"/>
                <w:lang w:val="zh-CN"/>
              </w:rPr>
            </w:pPr>
            <w:r>
              <w:rPr>
                <w:rFonts w:hint="eastAsia" w:eastAsia="仿宋"/>
                <w:sz w:val="28"/>
                <w:szCs w:val="28"/>
                <w:lang w:val="zh-CN"/>
              </w:rPr>
              <w:t>相关主管部门</w:t>
            </w:r>
            <w:r>
              <w:rPr>
                <w:rFonts w:hint="eastAsia" w:eastAsia="仿宋"/>
                <w:sz w:val="28"/>
                <w:szCs w:val="28"/>
              </w:rPr>
              <w:t>规划设计要点级</w:t>
            </w:r>
            <w:r>
              <w:rPr>
                <w:rFonts w:hint="eastAsia" w:eastAsia="仿宋"/>
                <w:sz w:val="28"/>
                <w:szCs w:val="28"/>
                <w:lang w:val="zh-CN"/>
              </w:rPr>
              <w:t>政策性资料</w:t>
            </w:r>
          </w:p>
        </w:tc>
        <w:tc>
          <w:tcPr>
            <w:tcW w:w="965" w:type="dxa"/>
            <w:vAlign w:val="center"/>
          </w:tcPr>
          <w:p w14:paraId="3BA730BB">
            <w:pPr>
              <w:spacing w:line="400" w:lineRule="exact"/>
              <w:jc w:val="center"/>
              <w:rPr>
                <w:rFonts w:eastAsia="仿宋"/>
                <w:sz w:val="28"/>
                <w:szCs w:val="28"/>
              </w:rPr>
            </w:pPr>
            <w:r>
              <w:rPr>
                <w:rFonts w:hint="eastAsia" w:eastAsia="仿宋"/>
                <w:sz w:val="28"/>
                <w:szCs w:val="28"/>
              </w:rPr>
              <w:t>若干</w:t>
            </w:r>
          </w:p>
        </w:tc>
        <w:tc>
          <w:tcPr>
            <w:tcW w:w="1673" w:type="dxa"/>
            <w:vAlign w:val="center"/>
          </w:tcPr>
          <w:p w14:paraId="78747A4F">
            <w:pPr>
              <w:spacing w:line="400" w:lineRule="exact"/>
              <w:jc w:val="center"/>
              <w:rPr>
                <w:rFonts w:eastAsia="仿宋"/>
                <w:sz w:val="28"/>
                <w:szCs w:val="28"/>
              </w:rPr>
            </w:pPr>
            <w:r>
              <w:rPr>
                <w:rFonts w:eastAsia="仿宋"/>
                <w:sz w:val="28"/>
                <w:szCs w:val="28"/>
              </w:rPr>
              <w:t>签订合同后</w:t>
            </w:r>
            <w:r>
              <w:rPr>
                <w:rFonts w:hint="eastAsia" w:eastAsia="仿宋"/>
                <w:sz w:val="28"/>
                <w:szCs w:val="28"/>
              </w:rPr>
              <w:t>15</w:t>
            </w:r>
            <w:r>
              <w:rPr>
                <w:rFonts w:eastAsia="仿宋"/>
                <w:sz w:val="28"/>
                <w:szCs w:val="28"/>
              </w:rPr>
              <w:t>日内</w:t>
            </w:r>
          </w:p>
        </w:tc>
        <w:tc>
          <w:tcPr>
            <w:tcW w:w="1429" w:type="dxa"/>
            <w:vMerge w:val="continue"/>
            <w:vAlign w:val="center"/>
          </w:tcPr>
          <w:p w14:paraId="74160BE7">
            <w:pPr>
              <w:spacing w:line="400" w:lineRule="exact"/>
              <w:jc w:val="center"/>
              <w:rPr>
                <w:rFonts w:eastAsia="仿宋"/>
                <w:sz w:val="28"/>
                <w:szCs w:val="28"/>
              </w:rPr>
            </w:pPr>
          </w:p>
        </w:tc>
      </w:tr>
      <w:tr w14:paraId="020B0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51" w:type="dxa"/>
            <w:vAlign w:val="center"/>
          </w:tcPr>
          <w:p w14:paraId="284E983B">
            <w:pPr>
              <w:spacing w:line="400" w:lineRule="exact"/>
              <w:jc w:val="center"/>
              <w:rPr>
                <w:rFonts w:eastAsia="仿宋"/>
                <w:sz w:val="28"/>
                <w:szCs w:val="28"/>
              </w:rPr>
            </w:pPr>
            <w:r>
              <w:rPr>
                <w:rFonts w:eastAsia="仿宋"/>
                <w:sz w:val="28"/>
                <w:szCs w:val="28"/>
              </w:rPr>
              <w:t>3</w:t>
            </w:r>
          </w:p>
        </w:tc>
        <w:tc>
          <w:tcPr>
            <w:tcW w:w="3935" w:type="dxa"/>
            <w:vAlign w:val="center"/>
          </w:tcPr>
          <w:p w14:paraId="4B85A006">
            <w:pPr>
              <w:spacing w:line="400" w:lineRule="exact"/>
              <w:jc w:val="left"/>
              <w:rPr>
                <w:rFonts w:eastAsia="仿宋"/>
                <w:sz w:val="28"/>
                <w:szCs w:val="28"/>
              </w:rPr>
            </w:pPr>
            <w:r>
              <w:rPr>
                <w:rFonts w:eastAsia="仿宋"/>
                <w:sz w:val="28"/>
                <w:szCs w:val="28"/>
              </w:rPr>
              <w:t>其他相关</w:t>
            </w:r>
            <w:r>
              <w:rPr>
                <w:rFonts w:hint="eastAsia" w:eastAsia="仿宋"/>
                <w:sz w:val="28"/>
                <w:szCs w:val="28"/>
              </w:rPr>
              <w:t>基础</w:t>
            </w:r>
            <w:r>
              <w:rPr>
                <w:rFonts w:eastAsia="仿宋"/>
                <w:sz w:val="28"/>
                <w:szCs w:val="28"/>
              </w:rPr>
              <w:t>资料</w:t>
            </w:r>
          </w:p>
        </w:tc>
        <w:tc>
          <w:tcPr>
            <w:tcW w:w="965" w:type="dxa"/>
            <w:vAlign w:val="center"/>
          </w:tcPr>
          <w:p w14:paraId="0CF6FA37">
            <w:pPr>
              <w:spacing w:line="400" w:lineRule="exact"/>
              <w:jc w:val="center"/>
              <w:rPr>
                <w:rFonts w:eastAsia="仿宋"/>
                <w:sz w:val="28"/>
                <w:szCs w:val="28"/>
              </w:rPr>
            </w:pPr>
            <w:r>
              <w:rPr>
                <w:rFonts w:hint="eastAsia" w:eastAsia="仿宋"/>
                <w:sz w:val="28"/>
                <w:szCs w:val="28"/>
              </w:rPr>
              <w:t>若干</w:t>
            </w:r>
          </w:p>
        </w:tc>
        <w:tc>
          <w:tcPr>
            <w:tcW w:w="1673" w:type="dxa"/>
            <w:vAlign w:val="center"/>
          </w:tcPr>
          <w:p w14:paraId="7FE452D7">
            <w:pPr>
              <w:spacing w:line="400" w:lineRule="exact"/>
              <w:jc w:val="center"/>
              <w:rPr>
                <w:rFonts w:eastAsia="仿宋"/>
                <w:sz w:val="28"/>
                <w:szCs w:val="28"/>
              </w:rPr>
            </w:pPr>
            <w:r>
              <w:rPr>
                <w:rFonts w:eastAsia="仿宋"/>
                <w:sz w:val="28"/>
                <w:szCs w:val="28"/>
              </w:rPr>
              <w:t>签订合同后</w:t>
            </w:r>
            <w:r>
              <w:rPr>
                <w:rFonts w:hint="eastAsia" w:eastAsia="仿宋"/>
                <w:sz w:val="28"/>
                <w:szCs w:val="28"/>
              </w:rPr>
              <w:t>15</w:t>
            </w:r>
            <w:r>
              <w:rPr>
                <w:rFonts w:eastAsia="仿宋"/>
                <w:sz w:val="28"/>
                <w:szCs w:val="28"/>
              </w:rPr>
              <w:t>日内</w:t>
            </w:r>
          </w:p>
        </w:tc>
        <w:tc>
          <w:tcPr>
            <w:tcW w:w="1429" w:type="dxa"/>
            <w:vMerge w:val="continue"/>
            <w:vAlign w:val="center"/>
          </w:tcPr>
          <w:p w14:paraId="0BDB8881">
            <w:pPr>
              <w:spacing w:line="400" w:lineRule="exact"/>
              <w:jc w:val="center"/>
              <w:rPr>
                <w:rFonts w:eastAsia="仿宋"/>
                <w:sz w:val="28"/>
                <w:szCs w:val="28"/>
              </w:rPr>
            </w:pPr>
          </w:p>
        </w:tc>
      </w:tr>
    </w:tbl>
    <w:p w14:paraId="29CB8E28">
      <w:pPr>
        <w:spacing w:line="60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第五条 工作内容与成果提交</w:t>
      </w:r>
    </w:p>
    <w:p w14:paraId="51546F2D">
      <w:pPr>
        <w:pStyle w:val="9"/>
        <w:spacing w:after="0" w:line="600" w:lineRule="exact"/>
        <w:ind w:left="0" w:leftChars="0" w:firstLine="640" w:firstLineChars="200"/>
        <w:rPr>
          <w:rFonts w:eastAsia="仿宋"/>
          <w:sz w:val="32"/>
          <w:szCs w:val="32"/>
        </w:rPr>
      </w:pPr>
      <w:bookmarkStart w:id="8" w:name="OLE_LINK10"/>
      <w:bookmarkStart w:id="9" w:name="OLE_LINK11"/>
      <w:r>
        <w:rPr>
          <w:rFonts w:eastAsia="仿宋"/>
          <w:sz w:val="32"/>
          <w:szCs w:val="32"/>
        </w:rPr>
        <w:t>5.1</w:t>
      </w:r>
      <w:bookmarkEnd w:id="8"/>
      <w:bookmarkEnd w:id="9"/>
      <w:r>
        <w:rPr>
          <w:rFonts w:eastAsia="仿宋"/>
          <w:sz w:val="32"/>
          <w:szCs w:val="32"/>
        </w:rPr>
        <w:t>工作内容</w:t>
      </w:r>
    </w:p>
    <w:p w14:paraId="27A1CCF6">
      <w:pPr>
        <w:pStyle w:val="9"/>
        <w:spacing w:after="0" w:line="600" w:lineRule="exact"/>
        <w:ind w:left="0" w:leftChars="0" w:firstLine="640" w:firstLineChars="200"/>
        <w:rPr>
          <w:rFonts w:ascii="仿宋" w:hAnsi="仿宋" w:eastAsia="仿宋" w:cs="仿宋"/>
          <w:color w:val="000000"/>
          <w:sz w:val="28"/>
          <w:szCs w:val="28"/>
        </w:rPr>
      </w:pPr>
      <w:r>
        <w:rPr>
          <w:rFonts w:hint="eastAsia" w:eastAsia="仿宋"/>
          <w:sz w:val="32"/>
          <w:szCs w:val="32"/>
        </w:rPr>
        <w:t xml:space="preserve"> </w:t>
      </w:r>
      <w:r>
        <w:rPr>
          <w:rFonts w:hint="eastAsia" w:ascii="仿宋" w:hAnsi="仿宋" w:eastAsia="仿宋" w:cs="仿宋"/>
          <w:color w:val="000000"/>
          <w:sz w:val="28"/>
          <w:szCs w:val="28"/>
        </w:rPr>
        <w:t>规划区现状为衡阳纺织机械厂，属于老旧厂区城市更新区域。结合该区域的空间盘活利用需求，根据自然资源部关于印发《支持城市更新的规划与土地政策指引（</w:t>
      </w:r>
      <w:r>
        <w:rPr>
          <w:rFonts w:ascii="仿宋" w:hAnsi="仿宋" w:eastAsia="仿宋" w:cs="仿宋"/>
          <w:color w:val="000000"/>
          <w:sz w:val="28"/>
          <w:szCs w:val="28"/>
        </w:rPr>
        <w:t>2023版）》的通知</w:t>
      </w:r>
      <w:r>
        <w:rPr>
          <w:rFonts w:hint="eastAsia" w:ascii="仿宋" w:hAnsi="仿宋" w:eastAsia="仿宋" w:cs="仿宋"/>
          <w:color w:val="000000"/>
          <w:sz w:val="28"/>
          <w:szCs w:val="28"/>
        </w:rPr>
        <w:t>要求：“老旧厂区和产业园区更新应聚焦产业转型升级和发展新兴产业，并着重围绕城市更新的可实施性，加强城市更新项目运营维护、收益分配，以及建筑工程投资测算等方面的专题研究。研究结论将作为确定详细规划相关规划指标和管控要求的参考依据。基于以上背景和要求，结合规划区实际情况，在做好</w:t>
      </w:r>
      <w:r>
        <w:rPr>
          <w:rFonts w:hint="eastAsia" w:ascii="仿宋" w:hAnsi="仿宋" w:eastAsia="仿宋" w:cs="仿宋"/>
          <w:sz w:val="28"/>
          <w:szCs w:val="28"/>
        </w:rPr>
        <w:t>前期基础研究的基础上，</w:t>
      </w:r>
      <w:r>
        <w:rPr>
          <w:rFonts w:hint="eastAsia" w:ascii="仿宋" w:hAnsi="仿宋" w:eastAsia="仿宋" w:cs="仿宋"/>
          <w:color w:val="000000"/>
          <w:sz w:val="28"/>
          <w:szCs w:val="28"/>
        </w:rPr>
        <w:t>拟具体形成“策划+规划”的工作成果。具体为：</w:t>
      </w:r>
    </w:p>
    <w:p w14:paraId="5DC0A6FE">
      <w:pPr>
        <w:adjustRightInd w:val="0"/>
        <w:snapToGrid w:val="0"/>
        <w:spacing w:line="600" w:lineRule="exact"/>
        <w:ind w:firstLine="560"/>
        <w:rPr>
          <w:rFonts w:ascii="仿宋" w:hAnsi="仿宋" w:eastAsia="仿宋" w:cs="仿宋"/>
          <w:color w:val="000000"/>
          <w:sz w:val="28"/>
          <w:szCs w:val="28"/>
        </w:rPr>
      </w:pPr>
      <w:r>
        <w:rPr>
          <w:rFonts w:hint="eastAsia" w:ascii="仿宋" w:hAnsi="仿宋" w:eastAsia="仿宋" w:cs="仿宋"/>
          <w:b/>
          <w:bCs/>
          <w:color w:val="000000"/>
          <w:sz w:val="28"/>
          <w:szCs w:val="28"/>
        </w:rPr>
        <w:t>（一）基础性研究</w:t>
      </w:r>
    </w:p>
    <w:p w14:paraId="600EAE5D">
      <w:pPr>
        <w:adjustRightInd w:val="0"/>
        <w:snapToGrid w:val="0"/>
        <w:spacing w:line="54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1.总体背景分析</w:t>
      </w:r>
    </w:p>
    <w:p w14:paraId="0D55ACE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深入研究分析本项目涉及省市级层面的相关政策背景、上位要求与发展趋势。分析地块的地理区位条件，研究项目在区域中所承载的功能角色与作用。</w:t>
      </w:r>
    </w:p>
    <w:p w14:paraId="41FC0CB5">
      <w:pPr>
        <w:adjustRightInd w:val="0"/>
        <w:snapToGrid w:val="0"/>
        <w:spacing w:line="54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2.基地现状分析</w:t>
      </w:r>
    </w:p>
    <w:p w14:paraId="416547A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梳理规划范围内土地、建筑、生活、设施、文化、生态、产业、安全等方面的基础情况。全面摸清土地利用现状、土地建设动态、土地权属、特色资源等，并对现状建筑、现状道路、公服设施、市政设施等建设情况进行详细分析和问题诊断。</w:t>
      </w:r>
    </w:p>
    <w:p w14:paraId="23E35BD1">
      <w:pPr>
        <w:adjustRightInd w:val="0"/>
        <w:snapToGrid w:val="0"/>
        <w:spacing w:line="54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3.现行规划解读</w:t>
      </w:r>
    </w:p>
    <w:p w14:paraId="39ADDC8B">
      <w:pPr>
        <w:adjustRightInd w:val="0"/>
        <w:snapToGrid w:val="0"/>
        <w:spacing w:line="60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详细解读相关规划对本项目在规划定位:功能分区、规划用地、指标管控、道路交通、服务设施、空间形态等各方面，深入分析解读各相关规划对项目开发的建设要求。</w:t>
      </w:r>
    </w:p>
    <w:p w14:paraId="7511FBC8">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4.市场分析研究</w:t>
      </w:r>
    </w:p>
    <w:p w14:paraId="510EA6C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厘清项目与周边区域的发展关系，了解相关产业类型市场的发展规模和增长趋势，分析目标客户群体规模，研判区域竞争态势，评估项目发展潜力，为项目的市场定位和发展策略提供方向。</w:t>
      </w:r>
    </w:p>
    <w:p w14:paraId="6EC5A09E">
      <w:pPr>
        <w:adjustRightInd w:val="0"/>
        <w:snapToGrid w:val="0"/>
        <w:spacing w:line="54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5.相关案例借鉴</w:t>
      </w:r>
    </w:p>
    <w:p w14:paraId="67D2049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选取与项目综合特征相似的国内外成功案例进行剖析研究，总结其开发模式、产业选择和项目运营等多方面的成功经验，为地块的更新规划找到合适的发展路径与更新模式。</w:t>
      </w:r>
    </w:p>
    <w:p w14:paraId="5DBA2FA2">
      <w:pPr>
        <w:adjustRightInd w:val="0"/>
        <w:snapToGrid w:val="0"/>
        <w:spacing w:line="600" w:lineRule="exact"/>
        <w:ind w:firstLine="560"/>
        <w:rPr>
          <w:rFonts w:ascii="仿宋" w:hAnsi="仿宋" w:eastAsia="仿宋" w:cs="仿宋"/>
          <w:color w:val="000000"/>
          <w:sz w:val="28"/>
          <w:szCs w:val="28"/>
        </w:rPr>
      </w:pPr>
      <w:r>
        <w:rPr>
          <w:rFonts w:hint="eastAsia" w:ascii="仿宋" w:hAnsi="仿宋" w:eastAsia="仿宋" w:cs="仿宋"/>
          <w:b/>
          <w:bCs/>
          <w:color w:val="000000"/>
          <w:sz w:val="28"/>
          <w:szCs w:val="28"/>
        </w:rPr>
        <w:t>（二）产业策划</w:t>
      </w:r>
    </w:p>
    <w:p w14:paraId="4B66FA00">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1.发展目标定位</w:t>
      </w:r>
    </w:p>
    <w:p w14:paraId="73E829D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根据国家与省级相关政策、市区级工作部署情况，以及规划范围现状建设实情，结合上位规划具体要求，研究规划范围与周边地区功能关系，落实上位战略、相关规划与政策中对本片区的定义，提出契合于片区未来发展趋势的功能定位与目标愿景。</w:t>
      </w:r>
    </w:p>
    <w:p w14:paraId="6240E9B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2.产业发展策略</w:t>
      </w:r>
    </w:p>
    <w:p w14:paraId="1647B9E7">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明晰目标导向，结合前期分析研究诊断出的相关需求、相关问题与结论，以及国家政策、省市区发展战略和上位规划要求，分析研究规划范围的盘活利用需求，针对性提出相应的产业发展策略，引导新的功能进入和基础设施有序协同。</w:t>
      </w:r>
    </w:p>
    <w:p w14:paraId="668D52D0">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3.产业结构规划</w:t>
      </w:r>
    </w:p>
    <w:p w14:paraId="34F2100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（1）规划理念原则：结合计划引入功能的需求和特征，提出产业发展的理念与原则，明确适应于城市更新的产业导入模式。</w:t>
      </w:r>
    </w:p>
    <w:p w14:paraId="29F56E1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总体产业结构：系统梳理与筛选适应于规划范围内市场发展的产业动能转换方向，明确片区主导产业（功能）及相关配套产业（功能），以重点引擎项目（功能）策划为核心，以其他市场需求性功能业态为补充，对产业功能类型进行逐级筛选汇总，构成相互匹配的、完善的产业发展结构。同时，结合实际需求预测，确定各类产业功能的建设规模及比例。</w:t>
      </w:r>
    </w:p>
    <w:p w14:paraId="30966FF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（3）产业空间布局：结合主导功能及业务分工、设施协同的空间需求，提出产业的总体空间布局、业态详细布局等建议。</w:t>
      </w:r>
    </w:p>
    <w:p w14:paraId="56A91C1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4.重点功能策划</w:t>
      </w:r>
    </w:p>
    <w:p w14:paraId="4FE1D779">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针对不同功能分区，提出相应的业态运营指引，明确主要功能业态类型、建设规模、产居比例控制等引导性内容。</w:t>
      </w:r>
    </w:p>
    <w:p w14:paraId="320FA5F4">
      <w:pPr>
        <w:adjustRightInd w:val="0"/>
        <w:snapToGrid w:val="0"/>
        <w:spacing w:line="60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5.实施保障建议</w:t>
      </w:r>
    </w:p>
    <w:p w14:paraId="546BA3B2">
      <w:pPr>
        <w:adjustRightInd w:val="0"/>
        <w:snapToGrid w:val="0"/>
        <w:spacing w:line="600" w:lineRule="exact"/>
        <w:ind w:firstLine="560"/>
        <w:rPr>
          <w:rFonts w:ascii="仿宋" w:hAnsi="仿宋" w:eastAsia="仿宋" w:cs="仿宋"/>
          <w:color w:val="000000"/>
          <w:sz w:val="28"/>
          <w:szCs w:val="28"/>
        </w:rPr>
      </w:pPr>
      <w:r>
        <w:rPr>
          <w:rFonts w:hint="eastAsia" w:ascii="仿宋" w:hAnsi="仿宋" w:eastAsia="仿宋" w:cs="仿宋"/>
          <w:sz w:val="28"/>
          <w:szCs w:val="28"/>
        </w:rPr>
        <w:t>结合当前政策及产业的特色运营需求，提出相应的运营模式建议与发展指引。</w:t>
      </w:r>
    </w:p>
    <w:p w14:paraId="557A78C2">
      <w:pPr>
        <w:adjustRightInd w:val="0"/>
        <w:snapToGrid w:val="0"/>
        <w:spacing w:line="600" w:lineRule="exact"/>
        <w:ind w:firstLine="560"/>
        <w:rPr>
          <w:rFonts w:ascii="仿宋" w:hAnsi="仿宋" w:eastAsia="仿宋" w:cs="仿宋"/>
          <w:color w:val="000000"/>
          <w:sz w:val="28"/>
          <w:szCs w:val="28"/>
        </w:rPr>
      </w:pPr>
      <w:r>
        <w:rPr>
          <w:rFonts w:hint="eastAsia" w:ascii="仿宋" w:hAnsi="仿宋" w:eastAsia="仿宋" w:cs="仿宋"/>
          <w:b/>
          <w:bCs/>
          <w:color w:val="000000"/>
          <w:sz w:val="28"/>
          <w:szCs w:val="28"/>
        </w:rPr>
        <w:t>（三）更新规划</w:t>
      </w:r>
    </w:p>
    <w:p w14:paraId="73F6038C">
      <w:pPr>
        <w:adjustRightInd w:val="0"/>
        <w:snapToGrid w:val="0"/>
        <w:spacing w:line="60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1.总体更新方案</w:t>
      </w:r>
    </w:p>
    <w:p w14:paraId="60B6888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明确更新片区内项目的改造方案。根据国家、省、市、区城市更新相关政策规定，结合更新片区内土地与建筑物的权属、质量等方面的核查结果，明确改造、拆建、补建与安置方案，划定各类更新改造用地、独立占地的产业项目（功能）、配套生活功能、城市基础设施、公共服务设施用地，以及开发建设用地的具体范围，初步测算各项更新改造建设成本；并在产业策划的空间布局方案基础上，初步测算开发收益，做好城市更新片区规划前的经济效益平衡保障。</w:t>
      </w:r>
    </w:p>
    <w:p w14:paraId="29A37E51">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color w:val="000000"/>
          <w:sz w:val="28"/>
          <w:szCs w:val="28"/>
        </w:rPr>
        <w:t>总平面布局</w:t>
      </w:r>
      <w:r>
        <w:rPr>
          <w:rFonts w:hint="eastAsia" w:ascii="仿宋" w:hAnsi="仿宋" w:eastAsia="仿宋" w:cs="仿宋"/>
          <w:sz w:val="28"/>
          <w:szCs w:val="28"/>
        </w:rPr>
        <w:t>方案</w:t>
      </w:r>
    </w:p>
    <w:p w14:paraId="24D4294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在加强总体城市更新方案与产业空间布局相结合的基础上，对基地内的功能空间进行统筹与整合，通过重塑城市空间关系、理顺生产与生活功能，优化交通组织体系、提升公共空间品质、完善景观风貌等系统性空间策略，制定优质高效的城市空间设计方案。</w:t>
      </w:r>
    </w:p>
    <w:p w14:paraId="08A261D1">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3.分期规划引导</w:t>
      </w:r>
    </w:p>
    <w:p w14:paraId="4C44DEB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制定城市更新项目实施计划，明确更新类型、更新规模、实施期限等要素内容，提出分期建设规划，稳步推动城市更新行动。</w:t>
      </w:r>
    </w:p>
    <w:p w14:paraId="0F6E72EC">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4.效益评估与测算</w:t>
      </w:r>
    </w:p>
    <w:p w14:paraId="4481938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构建可行的收益回报机制，提出与项目匹配的投融资组合模式建议等，保障城市更新及产业导入顺利实施。</w:t>
      </w:r>
    </w:p>
    <w:p w14:paraId="71125F70">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5.法定规划协同</w:t>
      </w:r>
    </w:p>
    <w:p w14:paraId="39C129E4">
      <w:pPr>
        <w:adjustRightInd w:val="0"/>
        <w:snapToGrid w:val="0"/>
        <w:spacing w:line="600" w:lineRule="exact"/>
        <w:ind w:firstLine="560"/>
        <w:rPr>
          <w:rFonts w:ascii="仿宋" w:hAnsi="仿宋" w:eastAsia="仿宋" w:cs="仿宋"/>
          <w:sz w:val="28"/>
          <w:szCs w:val="28"/>
        </w:rPr>
      </w:pPr>
      <w:r>
        <w:rPr>
          <w:rFonts w:hint="eastAsia" w:ascii="仿宋" w:hAnsi="仿宋" w:eastAsia="仿宋" w:cs="仿宋"/>
          <w:sz w:val="28"/>
          <w:szCs w:val="28"/>
        </w:rPr>
        <w:t>（1）用地规划衔接：衔接规划范围涉及的现行法定规划要求，结合</w:t>
      </w:r>
      <w:r>
        <w:rPr>
          <w:rFonts w:hint="eastAsia" w:ascii="仿宋" w:hAnsi="仿宋" w:eastAsia="仿宋" w:cs="仿宋"/>
          <w:color w:val="000000"/>
          <w:sz w:val="28"/>
          <w:szCs w:val="28"/>
        </w:rPr>
        <w:t>总体更新方案</w:t>
      </w:r>
      <w:r>
        <w:rPr>
          <w:rFonts w:hint="eastAsia" w:ascii="仿宋" w:hAnsi="仿宋" w:eastAsia="仿宋" w:cs="仿宋"/>
          <w:sz w:val="28"/>
          <w:szCs w:val="28"/>
        </w:rPr>
        <w:t>提出相应的用地规划方案。</w:t>
      </w:r>
    </w:p>
    <w:p w14:paraId="0779BC3F">
      <w:pPr>
        <w:adjustRightInd w:val="0"/>
        <w:snapToGrid w:val="0"/>
        <w:spacing w:line="600" w:lineRule="exact"/>
        <w:ind w:firstLine="560"/>
        <w:rPr>
          <w:rFonts w:eastAsia="仿宋"/>
          <w:sz w:val="32"/>
          <w:szCs w:val="32"/>
        </w:rPr>
      </w:pPr>
      <w:r>
        <w:rPr>
          <w:rFonts w:hint="eastAsia" w:ascii="仿宋" w:hAnsi="仿宋" w:eastAsia="仿宋" w:cs="仿宋"/>
          <w:sz w:val="28"/>
          <w:szCs w:val="28"/>
        </w:rPr>
        <w:t>（2）指标要素衔接：进一步落实总平面布局的总体意图，合理确定规划范围内的开发建设高强度、关联设施布局等指标或管控要求，阐明相关详细规划等法定规划调整的主要内容。</w:t>
      </w:r>
      <w:r>
        <w:rPr>
          <w:rFonts w:hint="eastAsia" w:eastAsia="仿宋"/>
          <w:sz w:val="32"/>
          <w:szCs w:val="32"/>
        </w:rPr>
        <w:t xml:space="preserve">                   </w:t>
      </w:r>
    </w:p>
    <w:p w14:paraId="62CF22A3">
      <w:pPr>
        <w:pStyle w:val="9"/>
        <w:spacing w:after="0" w:line="600" w:lineRule="exact"/>
        <w:ind w:left="0" w:leftChars="0" w:firstLine="640" w:firstLineChars="200"/>
        <w:rPr>
          <w:rFonts w:eastAsia="仿宋"/>
          <w:sz w:val="32"/>
          <w:szCs w:val="32"/>
        </w:rPr>
      </w:pPr>
      <w:r>
        <w:rPr>
          <w:rFonts w:eastAsia="仿宋"/>
          <w:sz w:val="32"/>
          <w:szCs w:val="32"/>
        </w:rPr>
        <w:t>5.2 成果提交</w:t>
      </w:r>
    </w:p>
    <w:p w14:paraId="609F6880">
      <w:pPr>
        <w:pStyle w:val="9"/>
        <w:spacing w:after="0" w:line="600" w:lineRule="exact"/>
        <w:ind w:left="0" w:leftChars="0" w:firstLine="640" w:firstLineChars="200"/>
        <w:rPr>
          <w:rFonts w:eastAsia="仿宋"/>
          <w:sz w:val="32"/>
          <w:szCs w:val="32"/>
        </w:rPr>
      </w:pPr>
      <w:r>
        <w:rPr>
          <w:rFonts w:eastAsia="仿宋"/>
          <w:sz w:val="32"/>
          <w:szCs w:val="32"/>
        </w:rPr>
        <w:t>1.完成周期：</w:t>
      </w:r>
      <w:r>
        <w:rPr>
          <w:rFonts w:hint="eastAsia" w:eastAsia="仿宋"/>
          <w:sz w:val="32"/>
          <w:szCs w:val="32"/>
        </w:rPr>
        <w:t>合同签订，资料提供齐全后15日内完成初步成果；根据甲方及有关部门审查并提出意见完成正式成果。</w:t>
      </w:r>
      <w:r>
        <w:rPr>
          <w:rFonts w:eastAsia="仿宋"/>
          <w:sz w:val="32"/>
          <w:szCs w:val="32"/>
        </w:rPr>
        <w:t>具体完成时间根据政策要求、审查进度</w:t>
      </w:r>
      <w:r>
        <w:rPr>
          <w:rFonts w:hint="eastAsia" w:eastAsia="仿宋"/>
          <w:sz w:val="32"/>
          <w:szCs w:val="32"/>
        </w:rPr>
        <w:t>、基础资料收集情况</w:t>
      </w:r>
      <w:r>
        <w:rPr>
          <w:rFonts w:eastAsia="仿宋"/>
          <w:sz w:val="32"/>
          <w:szCs w:val="32"/>
        </w:rPr>
        <w:t>等双方友好协商确定。</w:t>
      </w:r>
    </w:p>
    <w:p w14:paraId="6543F6BD">
      <w:pPr>
        <w:pStyle w:val="9"/>
        <w:spacing w:after="0" w:line="600" w:lineRule="exact"/>
        <w:ind w:left="0" w:leftChars="0" w:firstLine="640" w:firstLineChars="200"/>
        <w:rPr>
          <w:rFonts w:eastAsia="仿宋"/>
          <w:sz w:val="32"/>
          <w:szCs w:val="32"/>
        </w:rPr>
      </w:pPr>
      <w:r>
        <w:rPr>
          <w:rFonts w:eastAsia="仿宋"/>
          <w:sz w:val="32"/>
          <w:szCs w:val="32"/>
        </w:rPr>
        <w:t>2.成果内容必须符合项目编制有关要求和国家、省市有关标准。</w:t>
      </w:r>
    </w:p>
    <w:p w14:paraId="1625A319">
      <w:pPr>
        <w:pStyle w:val="9"/>
        <w:spacing w:after="0" w:line="600" w:lineRule="exact"/>
        <w:ind w:left="0" w:leftChars="0" w:firstLine="640" w:firstLineChars="200"/>
        <w:rPr>
          <w:rFonts w:eastAsia="仿宋"/>
          <w:sz w:val="32"/>
          <w:szCs w:val="32"/>
        </w:rPr>
      </w:pPr>
      <w:r>
        <w:rPr>
          <w:rFonts w:eastAsia="仿宋"/>
          <w:sz w:val="32"/>
          <w:szCs w:val="32"/>
        </w:rPr>
        <w:t>3.乙方应向甲方交付的成果：</w:t>
      </w:r>
      <w:r>
        <w:rPr>
          <w:rFonts w:hint="eastAsia" w:ascii="仿宋" w:hAnsi="仿宋" w:eastAsia="仿宋" w:cs="仿宋"/>
          <w:sz w:val="32"/>
          <w:szCs w:val="32"/>
        </w:rPr>
        <w:t>正式成果纸质成果6套（如甲方另需增加文件，乙方应和甲方协商收取适当工本费），电子档1份。</w:t>
      </w:r>
    </w:p>
    <w:p w14:paraId="503F3858">
      <w:pPr>
        <w:spacing w:line="60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第六条 服务费用、结算方法及期限</w:t>
      </w:r>
    </w:p>
    <w:p w14:paraId="486267BC">
      <w:pPr>
        <w:spacing w:line="600" w:lineRule="exact"/>
        <w:ind w:firstLine="640" w:firstLineChars="200"/>
        <w:rPr>
          <w:rFonts w:eastAsia="仿宋"/>
          <w:sz w:val="32"/>
          <w:szCs w:val="32"/>
        </w:rPr>
      </w:pPr>
      <w:r>
        <w:rPr>
          <w:rFonts w:eastAsia="仿宋"/>
          <w:bCs/>
          <w:sz w:val="32"/>
          <w:szCs w:val="32"/>
        </w:rPr>
        <w:t>本合同</w:t>
      </w:r>
      <w:r>
        <w:rPr>
          <w:rFonts w:hint="eastAsia" w:eastAsia="仿宋"/>
          <w:bCs/>
          <w:sz w:val="32"/>
          <w:szCs w:val="32"/>
        </w:rPr>
        <w:t>研究</w:t>
      </w:r>
      <w:r>
        <w:rPr>
          <w:rFonts w:eastAsia="仿宋"/>
          <w:bCs/>
          <w:sz w:val="32"/>
          <w:szCs w:val="32"/>
        </w:rPr>
        <w:t>编制服务收费为（含税价）人民币</w:t>
      </w:r>
      <w:r>
        <w:rPr>
          <w:rFonts w:hint="eastAsia" w:eastAsia="仿宋"/>
          <w:bCs/>
          <w:sz w:val="32"/>
          <w:szCs w:val="32"/>
          <w:u w:val="single"/>
        </w:rPr>
        <w:t xml:space="preserve">      </w:t>
      </w:r>
      <w:r>
        <w:rPr>
          <w:rFonts w:eastAsia="仿宋"/>
          <w:bCs/>
          <w:sz w:val="32"/>
          <w:szCs w:val="32"/>
        </w:rPr>
        <w:t>整（小写：元</w:t>
      </w:r>
      <w:r>
        <w:rPr>
          <w:rFonts w:hint="eastAsia" w:eastAsia="仿宋"/>
          <w:bCs/>
          <w:sz w:val="32"/>
          <w:szCs w:val="32"/>
        </w:rPr>
        <w:t>）</w:t>
      </w:r>
      <w:r>
        <w:rPr>
          <w:rFonts w:eastAsia="仿宋"/>
          <w:bCs/>
          <w:sz w:val="32"/>
          <w:szCs w:val="32"/>
        </w:rPr>
        <w:t>，</w:t>
      </w:r>
      <w:r>
        <w:rPr>
          <w:rFonts w:eastAsia="仿宋"/>
          <w:sz w:val="32"/>
          <w:szCs w:val="32"/>
        </w:rPr>
        <w:t>税率为6%。</w:t>
      </w:r>
    </w:p>
    <w:p w14:paraId="7F69C4CB">
      <w:pPr>
        <w:spacing w:line="600" w:lineRule="exact"/>
        <w:ind w:firstLine="640" w:firstLineChars="200"/>
        <w:rPr>
          <w:rFonts w:eastAsia="仿宋"/>
          <w:bCs/>
          <w:sz w:val="32"/>
          <w:szCs w:val="32"/>
        </w:rPr>
      </w:pPr>
      <w:r>
        <w:rPr>
          <w:rFonts w:eastAsia="仿宋"/>
          <w:bCs/>
          <w:sz w:val="32"/>
          <w:szCs w:val="32"/>
        </w:rPr>
        <w:t>付款条件及时间：</w:t>
      </w:r>
      <w:r>
        <w:rPr>
          <w:rFonts w:hint="eastAsia" w:eastAsia="仿宋"/>
          <w:bCs/>
          <w:sz w:val="32"/>
          <w:szCs w:val="32"/>
        </w:rPr>
        <w:t>分三笔支付，由乙方向甲方开具专用发票，具体如下，</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1670"/>
        <w:gridCol w:w="1799"/>
        <w:gridCol w:w="3422"/>
      </w:tblGrid>
      <w:tr w14:paraId="4196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33B336B7">
            <w:pPr>
              <w:spacing w:line="600" w:lineRule="exact"/>
              <w:jc w:val="center"/>
              <w:rPr>
                <w:rFonts w:eastAsia="仿宋"/>
                <w:b/>
                <w:bCs/>
                <w:sz w:val="28"/>
                <w:szCs w:val="32"/>
              </w:rPr>
            </w:pPr>
            <w:r>
              <w:rPr>
                <w:rFonts w:hint="eastAsia" w:eastAsia="仿宋"/>
                <w:b/>
                <w:bCs/>
                <w:sz w:val="28"/>
                <w:szCs w:val="32"/>
              </w:rPr>
              <w:t>付款批次</w:t>
            </w:r>
          </w:p>
        </w:tc>
        <w:tc>
          <w:tcPr>
            <w:tcW w:w="1701" w:type="dxa"/>
          </w:tcPr>
          <w:p w14:paraId="7B920C1D">
            <w:pPr>
              <w:spacing w:line="600" w:lineRule="exact"/>
              <w:jc w:val="center"/>
              <w:rPr>
                <w:rFonts w:eastAsia="仿宋"/>
                <w:b/>
                <w:bCs/>
                <w:sz w:val="28"/>
                <w:szCs w:val="32"/>
              </w:rPr>
            </w:pPr>
            <w:r>
              <w:rPr>
                <w:rFonts w:hint="eastAsia" w:eastAsia="仿宋"/>
                <w:b/>
                <w:bCs/>
                <w:sz w:val="28"/>
                <w:szCs w:val="32"/>
              </w:rPr>
              <w:t>付款比例</w:t>
            </w:r>
          </w:p>
        </w:tc>
        <w:tc>
          <w:tcPr>
            <w:tcW w:w="1842" w:type="dxa"/>
          </w:tcPr>
          <w:p w14:paraId="0ED3DE16">
            <w:pPr>
              <w:spacing w:line="600" w:lineRule="exact"/>
              <w:jc w:val="center"/>
              <w:rPr>
                <w:rFonts w:eastAsia="仿宋"/>
                <w:b/>
                <w:bCs/>
                <w:sz w:val="28"/>
                <w:szCs w:val="32"/>
              </w:rPr>
            </w:pPr>
            <w:r>
              <w:rPr>
                <w:rFonts w:hint="eastAsia" w:eastAsia="仿宋"/>
                <w:b/>
                <w:bCs/>
                <w:sz w:val="28"/>
                <w:szCs w:val="32"/>
              </w:rPr>
              <w:t>付款金额</w:t>
            </w:r>
          </w:p>
        </w:tc>
        <w:tc>
          <w:tcPr>
            <w:tcW w:w="3509" w:type="dxa"/>
          </w:tcPr>
          <w:p w14:paraId="68D00FBE">
            <w:pPr>
              <w:spacing w:line="600" w:lineRule="exact"/>
              <w:jc w:val="center"/>
              <w:rPr>
                <w:rFonts w:eastAsia="仿宋"/>
                <w:b/>
                <w:bCs/>
                <w:sz w:val="28"/>
                <w:szCs w:val="32"/>
              </w:rPr>
            </w:pPr>
            <w:r>
              <w:rPr>
                <w:rFonts w:hint="eastAsia" w:eastAsia="仿宋"/>
                <w:b/>
                <w:bCs/>
                <w:sz w:val="28"/>
                <w:szCs w:val="32"/>
              </w:rPr>
              <w:t>付款条件</w:t>
            </w:r>
          </w:p>
        </w:tc>
      </w:tr>
      <w:tr w14:paraId="181FC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14:paraId="1869E6BC">
            <w:pPr>
              <w:spacing w:line="600" w:lineRule="exact"/>
              <w:jc w:val="center"/>
              <w:rPr>
                <w:rFonts w:eastAsia="仿宋"/>
                <w:bCs/>
                <w:sz w:val="28"/>
                <w:szCs w:val="32"/>
              </w:rPr>
            </w:pPr>
            <w:r>
              <w:rPr>
                <w:rFonts w:hint="eastAsia" w:eastAsia="仿宋"/>
                <w:bCs/>
                <w:sz w:val="28"/>
                <w:szCs w:val="32"/>
              </w:rPr>
              <w:t>第一笔</w:t>
            </w:r>
          </w:p>
        </w:tc>
        <w:tc>
          <w:tcPr>
            <w:tcW w:w="1701" w:type="dxa"/>
            <w:vAlign w:val="center"/>
          </w:tcPr>
          <w:p w14:paraId="59A66B7A">
            <w:pPr>
              <w:spacing w:line="600" w:lineRule="exact"/>
              <w:jc w:val="center"/>
              <w:rPr>
                <w:rFonts w:eastAsia="仿宋"/>
                <w:bCs/>
                <w:sz w:val="28"/>
                <w:szCs w:val="32"/>
              </w:rPr>
            </w:pPr>
            <w:r>
              <w:rPr>
                <w:rFonts w:hint="eastAsia" w:eastAsia="仿宋"/>
                <w:bCs/>
                <w:sz w:val="28"/>
                <w:szCs w:val="32"/>
              </w:rPr>
              <w:t>30</w:t>
            </w:r>
            <w:r>
              <w:rPr>
                <w:rFonts w:eastAsia="仿宋"/>
                <w:bCs/>
                <w:sz w:val="28"/>
                <w:szCs w:val="32"/>
              </w:rPr>
              <w:t>%</w:t>
            </w:r>
          </w:p>
        </w:tc>
        <w:tc>
          <w:tcPr>
            <w:tcW w:w="1842" w:type="dxa"/>
            <w:vAlign w:val="center"/>
          </w:tcPr>
          <w:p w14:paraId="7CD965CF">
            <w:pPr>
              <w:spacing w:line="600" w:lineRule="exact"/>
              <w:jc w:val="center"/>
              <w:rPr>
                <w:rFonts w:eastAsia="仿宋"/>
                <w:bCs/>
                <w:sz w:val="28"/>
                <w:szCs w:val="32"/>
              </w:rPr>
            </w:pPr>
            <w:r>
              <w:rPr>
                <w:rFonts w:hint="eastAsia" w:eastAsia="仿宋"/>
                <w:bCs/>
                <w:sz w:val="28"/>
                <w:szCs w:val="32"/>
              </w:rPr>
              <w:t xml:space="preserve">    万</w:t>
            </w:r>
          </w:p>
        </w:tc>
        <w:tc>
          <w:tcPr>
            <w:tcW w:w="3509" w:type="dxa"/>
          </w:tcPr>
          <w:p w14:paraId="6974A20B">
            <w:pPr>
              <w:spacing w:line="600" w:lineRule="exact"/>
              <w:jc w:val="center"/>
              <w:rPr>
                <w:rFonts w:eastAsia="仿宋"/>
                <w:bCs/>
                <w:sz w:val="28"/>
                <w:szCs w:val="32"/>
              </w:rPr>
            </w:pPr>
            <w:r>
              <w:rPr>
                <w:rFonts w:hint="eastAsia" w:eastAsia="仿宋"/>
                <w:bCs/>
                <w:sz w:val="28"/>
                <w:szCs w:val="32"/>
              </w:rPr>
              <w:t>签订合同后10个工作日内</w:t>
            </w:r>
          </w:p>
        </w:tc>
      </w:tr>
      <w:tr w14:paraId="6AC3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14:paraId="26596986">
            <w:pPr>
              <w:spacing w:line="600" w:lineRule="exact"/>
              <w:jc w:val="center"/>
              <w:rPr>
                <w:rFonts w:eastAsia="仿宋"/>
                <w:bCs/>
                <w:sz w:val="28"/>
                <w:szCs w:val="32"/>
              </w:rPr>
            </w:pPr>
            <w:r>
              <w:rPr>
                <w:rFonts w:hint="eastAsia" w:eastAsia="仿宋"/>
                <w:bCs/>
                <w:sz w:val="28"/>
                <w:szCs w:val="32"/>
              </w:rPr>
              <w:t>第二笔</w:t>
            </w:r>
          </w:p>
        </w:tc>
        <w:tc>
          <w:tcPr>
            <w:tcW w:w="1701" w:type="dxa"/>
            <w:vAlign w:val="center"/>
          </w:tcPr>
          <w:p w14:paraId="6462F919">
            <w:pPr>
              <w:spacing w:line="600" w:lineRule="exact"/>
              <w:jc w:val="center"/>
              <w:rPr>
                <w:rFonts w:eastAsia="仿宋"/>
                <w:bCs/>
                <w:sz w:val="28"/>
                <w:szCs w:val="32"/>
              </w:rPr>
            </w:pPr>
            <w:r>
              <w:rPr>
                <w:rFonts w:hint="eastAsia" w:eastAsia="仿宋"/>
                <w:bCs/>
                <w:sz w:val="28"/>
                <w:szCs w:val="32"/>
              </w:rPr>
              <w:t>30</w:t>
            </w:r>
            <w:r>
              <w:rPr>
                <w:rFonts w:eastAsia="仿宋"/>
                <w:bCs/>
                <w:sz w:val="28"/>
                <w:szCs w:val="32"/>
              </w:rPr>
              <w:t>%</w:t>
            </w:r>
          </w:p>
        </w:tc>
        <w:tc>
          <w:tcPr>
            <w:tcW w:w="1842" w:type="dxa"/>
            <w:vAlign w:val="center"/>
          </w:tcPr>
          <w:p w14:paraId="1C1233BD">
            <w:pPr>
              <w:spacing w:line="600" w:lineRule="exact"/>
              <w:jc w:val="center"/>
              <w:rPr>
                <w:rFonts w:eastAsia="仿宋"/>
                <w:bCs/>
                <w:sz w:val="28"/>
                <w:szCs w:val="32"/>
              </w:rPr>
            </w:pPr>
            <w:r>
              <w:rPr>
                <w:rFonts w:hint="eastAsia" w:eastAsia="仿宋"/>
                <w:bCs/>
                <w:sz w:val="28"/>
                <w:szCs w:val="32"/>
              </w:rPr>
              <w:t xml:space="preserve">    万</w:t>
            </w:r>
          </w:p>
        </w:tc>
        <w:tc>
          <w:tcPr>
            <w:tcW w:w="3509" w:type="dxa"/>
          </w:tcPr>
          <w:p w14:paraId="263CB5FE">
            <w:pPr>
              <w:spacing w:line="600" w:lineRule="exact"/>
              <w:jc w:val="center"/>
              <w:rPr>
                <w:rFonts w:eastAsia="仿宋"/>
                <w:bCs/>
                <w:sz w:val="28"/>
                <w:szCs w:val="32"/>
              </w:rPr>
            </w:pPr>
            <w:r>
              <w:rPr>
                <w:rFonts w:hint="eastAsia" w:eastAsia="仿宋"/>
                <w:bCs/>
                <w:sz w:val="28"/>
                <w:szCs w:val="32"/>
              </w:rPr>
              <w:t>提交初步成果并取得甲方认可后10个工作日内</w:t>
            </w:r>
          </w:p>
        </w:tc>
      </w:tr>
      <w:tr w14:paraId="6589D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14:paraId="0A60DAC6">
            <w:pPr>
              <w:spacing w:line="600" w:lineRule="exact"/>
              <w:jc w:val="center"/>
              <w:rPr>
                <w:rFonts w:eastAsia="仿宋"/>
                <w:bCs/>
                <w:sz w:val="28"/>
                <w:szCs w:val="32"/>
              </w:rPr>
            </w:pPr>
            <w:r>
              <w:rPr>
                <w:rFonts w:hint="eastAsia" w:eastAsia="仿宋"/>
                <w:bCs/>
                <w:sz w:val="28"/>
                <w:szCs w:val="32"/>
              </w:rPr>
              <w:t>第三笔</w:t>
            </w:r>
          </w:p>
        </w:tc>
        <w:tc>
          <w:tcPr>
            <w:tcW w:w="1701" w:type="dxa"/>
            <w:vAlign w:val="center"/>
          </w:tcPr>
          <w:p w14:paraId="2BF7ABFA">
            <w:pPr>
              <w:spacing w:line="600" w:lineRule="exact"/>
              <w:jc w:val="center"/>
              <w:rPr>
                <w:rFonts w:eastAsia="仿宋"/>
                <w:bCs/>
                <w:sz w:val="28"/>
                <w:szCs w:val="32"/>
              </w:rPr>
            </w:pPr>
            <w:r>
              <w:rPr>
                <w:rFonts w:hint="eastAsia" w:eastAsia="仿宋"/>
                <w:bCs/>
                <w:sz w:val="28"/>
                <w:szCs w:val="32"/>
              </w:rPr>
              <w:t>40</w:t>
            </w:r>
            <w:r>
              <w:rPr>
                <w:rFonts w:eastAsia="仿宋"/>
                <w:bCs/>
                <w:sz w:val="28"/>
                <w:szCs w:val="32"/>
              </w:rPr>
              <w:t>%</w:t>
            </w:r>
          </w:p>
        </w:tc>
        <w:tc>
          <w:tcPr>
            <w:tcW w:w="1842" w:type="dxa"/>
            <w:vAlign w:val="center"/>
          </w:tcPr>
          <w:p w14:paraId="3B2DBEEB">
            <w:pPr>
              <w:spacing w:line="600" w:lineRule="exact"/>
              <w:jc w:val="center"/>
              <w:rPr>
                <w:rFonts w:eastAsia="仿宋"/>
                <w:bCs/>
                <w:sz w:val="28"/>
                <w:szCs w:val="32"/>
              </w:rPr>
            </w:pPr>
            <w:r>
              <w:rPr>
                <w:rFonts w:hint="eastAsia" w:eastAsia="仿宋"/>
                <w:bCs/>
                <w:sz w:val="28"/>
                <w:szCs w:val="32"/>
              </w:rPr>
              <w:t xml:space="preserve">   万</w:t>
            </w:r>
          </w:p>
        </w:tc>
        <w:tc>
          <w:tcPr>
            <w:tcW w:w="3509" w:type="dxa"/>
          </w:tcPr>
          <w:p w14:paraId="1A970598">
            <w:pPr>
              <w:spacing w:line="600" w:lineRule="exact"/>
              <w:jc w:val="center"/>
              <w:rPr>
                <w:rFonts w:eastAsia="仿宋"/>
                <w:bCs/>
                <w:sz w:val="28"/>
                <w:szCs w:val="32"/>
              </w:rPr>
            </w:pPr>
            <w:r>
              <w:rPr>
                <w:rFonts w:hint="eastAsia" w:eastAsia="仿宋"/>
                <w:bCs/>
                <w:sz w:val="28"/>
                <w:szCs w:val="32"/>
              </w:rPr>
              <w:t>通过专家评审，并提交最终项目成果后10个工作日内</w:t>
            </w:r>
          </w:p>
        </w:tc>
      </w:tr>
    </w:tbl>
    <w:p w14:paraId="7FC4B599">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第七条 双方责任</w:t>
      </w:r>
    </w:p>
    <w:p w14:paraId="2DB8A652">
      <w:pPr>
        <w:spacing w:line="600" w:lineRule="exact"/>
        <w:ind w:firstLine="640" w:firstLineChars="200"/>
        <w:rPr>
          <w:rFonts w:eastAsia="仿宋"/>
          <w:sz w:val="32"/>
          <w:szCs w:val="32"/>
        </w:rPr>
      </w:pPr>
      <w:r>
        <w:rPr>
          <w:rFonts w:eastAsia="仿宋"/>
          <w:sz w:val="32"/>
          <w:szCs w:val="32"/>
        </w:rPr>
        <w:t>7.1甲方责任：</w:t>
      </w:r>
    </w:p>
    <w:p w14:paraId="76CD2771">
      <w:pPr>
        <w:spacing w:line="600" w:lineRule="exact"/>
        <w:ind w:firstLine="640" w:firstLineChars="200"/>
        <w:rPr>
          <w:rFonts w:eastAsia="仿宋"/>
          <w:sz w:val="32"/>
          <w:szCs w:val="32"/>
        </w:rPr>
      </w:pPr>
      <w:r>
        <w:rPr>
          <w:rFonts w:eastAsia="仿宋"/>
          <w:sz w:val="32"/>
          <w:szCs w:val="32"/>
        </w:rPr>
        <w:t>7.1.1甲方按本合同第四条规定的内容，在规定时间内向乙方提交资料及文件，并对其合法性、完整性、正确性、时限性负责，甲方不得要求乙方违反国家有关标准进行编制。甲方未在规定时间内向乙方提交完整资料及文件的，乙方提交</w:t>
      </w:r>
      <w:r>
        <w:rPr>
          <w:rFonts w:hint="eastAsia" w:eastAsia="仿宋"/>
          <w:sz w:val="32"/>
          <w:szCs w:val="32"/>
        </w:rPr>
        <w:t>研究</w:t>
      </w:r>
      <w:r>
        <w:rPr>
          <w:rFonts w:eastAsia="仿宋"/>
          <w:sz w:val="32"/>
          <w:szCs w:val="32"/>
        </w:rPr>
        <w:t>成果期限有权相应顺延。</w:t>
      </w:r>
    </w:p>
    <w:p w14:paraId="233D0432">
      <w:pPr>
        <w:spacing w:line="600" w:lineRule="exact"/>
        <w:ind w:firstLine="640" w:firstLineChars="200"/>
        <w:rPr>
          <w:rFonts w:eastAsia="仿宋"/>
          <w:sz w:val="32"/>
          <w:szCs w:val="32"/>
        </w:rPr>
      </w:pPr>
      <w:r>
        <w:rPr>
          <w:rFonts w:eastAsia="仿宋"/>
          <w:sz w:val="32"/>
          <w:szCs w:val="32"/>
        </w:rPr>
        <w:t>7.1.2甲方变更委托项目、规模、条件或因提供的资料错误，或经确认后所提交资料作较大修改，双方需另行协商签订补充协议协商解决。</w:t>
      </w:r>
    </w:p>
    <w:p w14:paraId="464BD5BA">
      <w:pPr>
        <w:spacing w:line="600" w:lineRule="exact"/>
        <w:ind w:firstLine="640" w:firstLineChars="200"/>
        <w:rPr>
          <w:rFonts w:eastAsia="仿宋"/>
          <w:sz w:val="32"/>
          <w:szCs w:val="32"/>
        </w:rPr>
      </w:pPr>
      <w:r>
        <w:rPr>
          <w:rFonts w:eastAsia="仿宋"/>
          <w:sz w:val="32"/>
          <w:szCs w:val="32"/>
        </w:rPr>
        <w:t>7.1.3甲方应按合同约定支付乙方服务费用。</w:t>
      </w:r>
    </w:p>
    <w:p w14:paraId="306405A6">
      <w:pPr>
        <w:spacing w:line="600" w:lineRule="exact"/>
        <w:ind w:firstLine="640" w:firstLineChars="200"/>
        <w:rPr>
          <w:rFonts w:eastAsia="仿宋"/>
          <w:sz w:val="32"/>
          <w:szCs w:val="32"/>
        </w:rPr>
      </w:pPr>
      <w:r>
        <w:rPr>
          <w:rFonts w:eastAsia="仿宋"/>
          <w:sz w:val="32"/>
          <w:szCs w:val="32"/>
        </w:rPr>
        <w:t>7.2乙方责任：</w:t>
      </w:r>
    </w:p>
    <w:p w14:paraId="227D335D">
      <w:pPr>
        <w:spacing w:line="600" w:lineRule="exact"/>
        <w:ind w:firstLine="640" w:firstLineChars="200"/>
        <w:rPr>
          <w:rFonts w:eastAsia="仿宋"/>
          <w:sz w:val="32"/>
          <w:szCs w:val="32"/>
        </w:rPr>
      </w:pPr>
      <w:r>
        <w:rPr>
          <w:rFonts w:eastAsia="仿宋"/>
          <w:sz w:val="32"/>
          <w:szCs w:val="32"/>
        </w:rPr>
        <w:t>7.2.1乙方应按国家和省市有关技术规范标准，结合地方有关规定及甲方提供的</w:t>
      </w:r>
      <w:r>
        <w:rPr>
          <w:rFonts w:hint="eastAsia" w:eastAsia="仿宋"/>
          <w:sz w:val="32"/>
          <w:szCs w:val="32"/>
        </w:rPr>
        <w:t>研究</w:t>
      </w:r>
      <w:r>
        <w:rPr>
          <w:rFonts w:eastAsia="仿宋"/>
          <w:sz w:val="32"/>
          <w:szCs w:val="32"/>
        </w:rPr>
        <w:t>要求，进行</w:t>
      </w:r>
      <w:r>
        <w:rPr>
          <w:rFonts w:hint="eastAsia" w:eastAsia="仿宋"/>
          <w:sz w:val="32"/>
          <w:szCs w:val="32"/>
        </w:rPr>
        <w:t>研究成果</w:t>
      </w:r>
      <w:r>
        <w:rPr>
          <w:rFonts w:eastAsia="仿宋"/>
          <w:sz w:val="32"/>
          <w:szCs w:val="32"/>
        </w:rPr>
        <w:t>编制，按合同规定的进度要求，提交质量合格的</w:t>
      </w:r>
      <w:r>
        <w:rPr>
          <w:rFonts w:hint="eastAsia" w:eastAsia="仿宋"/>
          <w:sz w:val="32"/>
          <w:szCs w:val="32"/>
        </w:rPr>
        <w:t>研究</w:t>
      </w:r>
      <w:r>
        <w:rPr>
          <w:rFonts w:eastAsia="仿宋"/>
          <w:sz w:val="32"/>
          <w:szCs w:val="32"/>
        </w:rPr>
        <w:t>成果，并对其负责。</w:t>
      </w:r>
    </w:p>
    <w:p w14:paraId="582CF1D5">
      <w:pPr>
        <w:spacing w:line="600" w:lineRule="exact"/>
        <w:ind w:firstLine="640" w:firstLineChars="200"/>
        <w:rPr>
          <w:rFonts w:eastAsia="仿宋"/>
          <w:sz w:val="32"/>
          <w:szCs w:val="32"/>
        </w:rPr>
      </w:pPr>
      <w:r>
        <w:rPr>
          <w:rFonts w:eastAsia="仿宋"/>
          <w:sz w:val="32"/>
          <w:szCs w:val="32"/>
        </w:rPr>
        <w:t>7.2.2乙方采用的主要技术标准按照第一条所规定执行。</w:t>
      </w:r>
    </w:p>
    <w:p w14:paraId="0E85A156">
      <w:pPr>
        <w:spacing w:line="600" w:lineRule="exact"/>
        <w:ind w:firstLine="640" w:firstLineChars="200"/>
        <w:rPr>
          <w:rFonts w:eastAsia="仿宋"/>
          <w:sz w:val="32"/>
          <w:szCs w:val="32"/>
        </w:rPr>
      </w:pPr>
      <w:r>
        <w:rPr>
          <w:rFonts w:eastAsia="仿宋"/>
          <w:sz w:val="32"/>
          <w:szCs w:val="32"/>
        </w:rPr>
        <w:t>7.2.3乙方按本合同第五条规定的内容、进度及份数向甲方交付资料及文件。</w:t>
      </w:r>
    </w:p>
    <w:p w14:paraId="3346876D">
      <w:pPr>
        <w:spacing w:line="600" w:lineRule="exact"/>
        <w:ind w:firstLine="640" w:firstLineChars="200"/>
        <w:rPr>
          <w:rFonts w:eastAsia="仿宋"/>
          <w:sz w:val="32"/>
          <w:szCs w:val="32"/>
        </w:rPr>
      </w:pPr>
      <w:r>
        <w:rPr>
          <w:rFonts w:eastAsia="仿宋"/>
          <w:sz w:val="32"/>
          <w:szCs w:val="32"/>
        </w:rPr>
        <w:t>7.2.4乙方对甲方提供的所有未经公开发表的资料负有保密责任，未经甲方允许，不得外传。</w:t>
      </w:r>
    </w:p>
    <w:p w14:paraId="0A7355A1">
      <w:pPr>
        <w:spacing w:line="600" w:lineRule="exact"/>
        <w:ind w:firstLine="643" w:firstLineChars="200"/>
        <w:rPr>
          <w:rFonts w:eastAsia="仿宋"/>
          <w:sz w:val="32"/>
          <w:szCs w:val="32"/>
        </w:rPr>
      </w:pPr>
      <w:r>
        <w:rPr>
          <w:rFonts w:eastAsia="仿宋"/>
          <w:b/>
          <w:bCs/>
          <w:sz w:val="32"/>
          <w:szCs w:val="32"/>
        </w:rPr>
        <w:t>第八条  保密</w:t>
      </w:r>
    </w:p>
    <w:p w14:paraId="13C43693">
      <w:pPr>
        <w:pStyle w:val="12"/>
        <w:rPr>
          <w:rFonts w:eastAsia="仿宋"/>
          <w:szCs w:val="32"/>
        </w:rPr>
      </w:pPr>
      <w:r>
        <w:rPr>
          <w:rFonts w:eastAsia="仿宋"/>
          <w:szCs w:val="32"/>
        </w:rPr>
        <w:t>双方均应保护对方的知识产权，未经对方同意，任何一方均不得对对方的资料及文件擅自修改、复制或向第三人转让或用于本合同项目以外的其他项目。如发生以上情况，泄密方承担由此引起的一切法律后果并承担相应的赔偿责任。</w:t>
      </w:r>
    </w:p>
    <w:p w14:paraId="23F29587">
      <w:pPr>
        <w:spacing w:line="600" w:lineRule="exact"/>
        <w:ind w:firstLine="643" w:firstLineChars="200"/>
        <w:outlineLvl w:val="0"/>
        <w:rPr>
          <w:rFonts w:eastAsia="仿宋"/>
          <w:b/>
          <w:bCs/>
          <w:sz w:val="32"/>
          <w:szCs w:val="32"/>
        </w:rPr>
      </w:pPr>
      <w:r>
        <w:rPr>
          <w:rFonts w:eastAsia="仿宋"/>
          <w:b/>
          <w:bCs/>
          <w:sz w:val="32"/>
          <w:szCs w:val="32"/>
        </w:rPr>
        <w:t>第九条  其他</w:t>
      </w:r>
    </w:p>
    <w:p w14:paraId="674E8173">
      <w:pPr>
        <w:autoSpaceDE w:val="0"/>
        <w:autoSpaceDN w:val="0"/>
        <w:adjustRightInd w:val="0"/>
        <w:spacing w:line="600" w:lineRule="exact"/>
        <w:ind w:firstLine="640" w:firstLineChars="200"/>
        <w:rPr>
          <w:rFonts w:eastAsia="仿宋"/>
          <w:sz w:val="32"/>
          <w:szCs w:val="32"/>
        </w:rPr>
      </w:pPr>
      <w:r>
        <w:rPr>
          <w:rFonts w:eastAsia="仿宋"/>
          <w:sz w:val="32"/>
          <w:szCs w:val="32"/>
        </w:rPr>
        <w:t>9.1 本合同在履行过程中发生的争议，由双方当事人协商解决，协商不成的，双方均可提交项目所在地人民法院</w:t>
      </w:r>
      <w:r>
        <w:rPr>
          <w:rFonts w:hint="eastAsia" w:eastAsia="仿宋"/>
          <w:sz w:val="32"/>
          <w:szCs w:val="32"/>
        </w:rPr>
        <w:t>。</w:t>
      </w:r>
      <w:r>
        <w:rPr>
          <w:rFonts w:eastAsia="仿宋"/>
          <w:sz w:val="32"/>
          <w:szCs w:val="32"/>
        </w:rPr>
        <w:t xml:space="preserve"> </w:t>
      </w:r>
    </w:p>
    <w:p w14:paraId="5D961E9A">
      <w:pPr>
        <w:spacing w:line="600" w:lineRule="exact"/>
        <w:ind w:firstLine="640" w:firstLineChars="200"/>
        <w:rPr>
          <w:rFonts w:eastAsia="仿宋"/>
          <w:sz w:val="32"/>
          <w:szCs w:val="32"/>
        </w:rPr>
      </w:pPr>
      <w:r>
        <w:rPr>
          <w:rFonts w:eastAsia="仿宋"/>
          <w:sz w:val="32"/>
          <w:szCs w:val="32"/>
        </w:rPr>
        <w:t>9.2本合同一式陆份，甲方</w:t>
      </w:r>
      <w:bookmarkStart w:id="10" w:name="OLE_LINK15"/>
      <w:bookmarkStart w:id="11" w:name="OLE_LINK16"/>
      <w:r>
        <w:rPr>
          <w:rFonts w:eastAsia="仿宋"/>
          <w:sz w:val="32"/>
          <w:szCs w:val="32"/>
        </w:rPr>
        <w:t>叁</w:t>
      </w:r>
      <w:bookmarkEnd w:id="10"/>
      <w:bookmarkEnd w:id="11"/>
      <w:r>
        <w:rPr>
          <w:rFonts w:eastAsia="仿宋"/>
          <w:sz w:val="32"/>
          <w:szCs w:val="32"/>
        </w:rPr>
        <w:t>份，乙方叁份。本合同经双方签章后生效。</w:t>
      </w:r>
    </w:p>
    <w:p w14:paraId="36026628">
      <w:pPr>
        <w:spacing w:line="600" w:lineRule="exact"/>
        <w:ind w:firstLine="640" w:firstLineChars="200"/>
        <w:rPr>
          <w:rFonts w:eastAsia="仿宋"/>
          <w:sz w:val="32"/>
          <w:szCs w:val="32"/>
        </w:rPr>
      </w:pPr>
      <w:r>
        <w:rPr>
          <w:rFonts w:eastAsia="仿宋"/>
          <w:sz w:val="32"/>
          <w:szCs w:val="32"/>
        </w:rPr>
        <w:t>9.3甲乙双方履行该合同规定的义务后，本合同即行终止。</w:t>
      </w:r>
    </w:p>
    <w:p w14:paraId="1ED4137B">
      <w:pPr>
        <w:spacing w:line="600" w:lineRule="exact"/>
        <w:ind w:firstLine="640" w:firstLineChars="200"/>
        <w:rPr>
          <w:rFonts w:eastAsia="仿宋"/>
          <w:sz w:val="32"/>
          <w:szCs w:val="32"/>
        </w:rPr>
      </w:pPr>
      <w:r>
        <w:rPr>
          <w:rFonts w:eastAsia="仿宋"/>
          <w:sz w:val="32"/>
          <w:szCs w:val="32"/>
        </w:rPr>
        <w:t>9.4本合同未尽事宜，双方可签订补充协议，有关协议及双方认可的来往电报、传真、会议纪要等，均为本合同组成部分，与本合同具有同等法律效力。</w:t>
      </w:r>
    </w:p>
    <w:p w14:paraId="1068460C">
      <w:pPr>
        <w:spacing w:line="600" w:lineRule="exact"/>
        <w:ind w:firstLine="640" w:firstLineChars="200"/>
        <w:rPr>
          <w:rFonts w:eastAsia="仿宋"/>
          <w:sz w:val="32"/>
          <w:szCs w:val="32"/>
        </w:rPr>
      </w:pPr>
      <w:r>
        <w:rPr>
          <w:rFonts w:hint="eastAsia" w:eastAsia="仿宋"/>
          <w:sz w:val="32"/>
          <w:szCs w:val="32"/>
        </w:rPr>
        <w:t>（以下无正文）</w:t>
      </w:r>
      <w:r>
        <w:rPr>
          <w:rFonts w:eastAsia="仿宋"/>
          <w:sz w:val="32"/>
          <w:szCs w:val="32"/>
        </w:rPr>
        <w:br w:type="page"/>
      </w:r>
    </w:p>
    <w:tbl>
      <w:tblPr>
        <w:tblStyle w:val="20"/>
        <w:tblW w:w="9468" w:type="dxa"/>
        <w:tblInd w:w="0" w:type="dxa"/>
        <w:tblLayout w:type="fixed"/>
        <w:tblCellMar>
          <w:top w:w="0" w:type="dxa"/>
          <w:left w:w="108" w:type="dxa"/>
          <w:bottom w:w="0" w:type="dxa"/>
          <w:right w:w="108" w:type="dxa"/>
        </w:tblCellMar>
      </w:tblPr>
      <w:tblGrid>
        <w:gridCol w:w="4536"/>
        <w:gridCol w:w="4932"/>
      </w:tblGrid>
      <w:tr w14:paraId="0F15A0FD">
        <w:tblPrEx>
          <w:tblCellMar>
            <w:top w:w="0" w:type="dxa"/>
            <w:left w:w="108" w:type="dxa"/>
            <w:bottom w:w="0" w:type="dxa"/>
            <w:right w:w="108" w:type="dxa"/>
          </w:tblCellMar>
        </w:tblPrEx>
        <w:tc>
          <w:tcPr>
            <w:tcW w:w="4536" w:type="dxa"/>
          </w:tcPr>
          <w:p w14:paraId="4F4DEBE0">
            <w:pPr>
              <w:spacing w:line="360" w:lineRule="auto"/>
              <w:rPr>
                <w:b/>
                <w:sz w:val="24"/>
                <w:szCs w:val="18"/>
              </w:rPr>
            </w:pPr>
            <w:r>
              <w:rPr>
                <w:sz w:val="28"/>
                <w:szCs w:val="28"/>
              </w:rPr>
              <w:br w:type="page"/>
            </w:r>
            <w:r>
              <w:rPr>
                <w:b/>
                <w:sz w:val="24"/>
                <w:szCs w:val="18"/>
              </w:rPr>
              <w:t>甲方：</w:t>
            </w:r>
          </w:p>
          <w:p w14:paraId="5D63B752">
            <w:pPr>
              <w:spacing w:line="360" w:lineRule="auto"/>
              <w:rPr>
                <w:b/>
                <w:spacing w:val="-20"/>
                <w:sz w:val="24"/>
                <w:szCs w:val="18"/>
              </w:rPr>
            </w:pPr>
            <w:r>
              <w:rPr>
                <w:bCs/>
                <w:sz w:val="24"/>
                <w:szCs w:val="18"/>
              </w:rPr>
              <w:t>（盖章）</w:t>
            </w:r>
          </w:p>
        </w:tc>
        <w:tc>
          <w:tcPr>
            <w:tcW w:w="4932" w:type="dxa"/>
          </w:tcPr>
          <w:p w14:paraId="79FCFB7D">
            <w:pPr>
              <w:spacing w:line="360" w:lineRule="auto"/>
              <w:rPr>
                <w:b/>
                <w:spacing w:val="-20"/>
                <w:sz w:val="24"/>
                <w:szCs w:val="18"/>
              </w:rPr>
            </w:pPr>
            <w:r>
              <w:rPr>
                <w:b/>
                <w:sz w:val="24"/>
                <w:szCs w:val="18"/>
              </w:rPr>
              <w:t>乙方：</w:t>
            </w:r>
          </w:p>
          <w:p w14:paraId="774CFBB0">
            <w:pPr>
              <w:spacing w:line="360" w:lineRule="auto"/>
              <w:rPr>
                <w:b/>
                <w:spacing w:val="-20"/>
                <w:sz w:val="24"/>
                <w:szCs w:val="18"/>
              </w:rPr>
            </w:pPr>
            <w:r>
              <w:rPr>
                <w:bCs/>
                <w:sz w:val="24"/>
                <w:szCs w:val="18"/>
              </w:rPr>
              <w:t>（盖章）</w:t>
            </w:r>
          </w:p>
        </w:tc>
      </w:tr>
    </w:tbl>
    <w:p w14:paraId="27138166">
      <w:pPr>
        <w:snapToGrid w:val="0"/>
        <w:spacing w:line="640" w:lineRule="exact"/>
        <w:rPr>
          <w:sz w:val="24"/>
        </w:rPr>
      </w:pPr>
      <w:r>
        <w:rPr>
          <w:sz w:val="24"/>
        </w:rPr>
        <w:t>法定代表人：（签字）                 法定代表人：（签字）</w:t>
      </w:r>
    </w:p>
    <w:p w14:paraId="08A0E334">
      <w:pPr>
        <w:spacing w:line="640" w:lineRule="exact"/>
        <w:rPr>
          <w:sz w:val="24"/>
        </w:rPr>
      </w:pPr>
      <w:r>
        <w:rPr>
          <w:sz w:val="24"/>
        </w:rPr>
        <w:t>或委托代理人：（签字）               或委托代理人：（签字）</w:t>
      </w:r>
    </w:p>
    <w:p w14:paraId="09138128">
      <w:pPr>
        <w:spacing w:line="640" w:lineRule="exact"/>
        <w:rPr>
          <w:sz w:val="24"/>
        </w:rPr>
      </w:pPr>
      <w:r>
        <w:rPr>
          <w:sz w:val="24"/>
        </w:rPr>
        <w:t xml:space="preserve">住    所：                           住所：   </w:t>
      </w:r>
    </w:p>
    <w:p w14:paraId="3E266A5E">
      <w:pPr>
        <w:spacing w:line="640" w:lineRule="exact"/>
        <w:rPr>
          <w:sz w:val="24"/>
        </w:rPr>
      </w:pPr>
      <w:r>
        <w:rPr>
          <w:sz w:val="24"/>
        </w:rPr>
        <w:t>邮政编码：                           邮政编码：</w:t>
      </w:r>
    </w:p>
    <w:p w14:paraId="6B194831">
      <w:pPr>
        <w:spacing w:line="640" w:lineRule="exact"/>
        <w:rPr>
          <w:sz w:val="24"/>
        </w:rPr>
      </w:pPr>
      <w:r>
        <w:rPr>
          <w:sz w:val="24"/>
        </w:rPr>
        <w:t>电    话：                           电    话：</w:t>
      </w:r>
    </w:p>
    <w:p w14:paraId="19A5B64B">
      <w:pPr>
        <w:spacing w:line="640" w:lineRule="exact"/>
        <w:rPr>
          <w:sz w:val="24"/>
        </w:rPr>
      </w:pPr>
      <w:r>
        <w:rPr>
          <w:sz w:val="24"/>
        </w:rPr>
        <w:t>传    真：                           传    真：</w:t>
      </w:r>
    </w:p>
    <w:p w14:paraId="239BCFA8">
      <w:pPr>
        <w:spacing w:line="640" w:lineRule="exact"/>
        <w:rPr>
          <w:sz w:val="24"/>
        </w:rPr>
      </w:pPr>
      <w:r>
        <w:rPr>
          <w:sz w:val="24"/>
        </w:rPr>
        <w:t>开户银行：                           开户银行：</w:t>
      </w:r>
    </w:p>
    <w:p w14:paraId="16B2F7C5">
      <w:pPr>
        <w:spacing w:line="640" w:lineRule="exact"/>
        <w:rPr>
          <w:sz w:val="24"/>
        </w:rPr>
      </w:pPr>
      <w:r>
        <w:rPr>
          <w:sz w:val="24"/>
        </w:rPr>
        <w:t>银行帐号：                           银行帐号</w:t>
      </w:r>
      <w:r>
        <w:rPr>
          <w:rFonts w:hint="eastAsia"/>
          <w:sz w:val="24"/>
        </w:rPr>
        <w:t>：</w:t>
      </w:r>
    </w:p>
    <w:p w14:paraId="62CDE1F0">
      <w:pPr>
        <w:spacing w:line="640" w:lineRule="exact"/>
        <w:ind w:firstLine="4410" w:firstLineChars="2100"/>
      </w:pPr>
      <w:r>
        <w:t>投诉电话：</w:t>
      </w:r>
    </w:p>
    <w:p w14:paraId="0B3CD156">
      <w:pPr>
        <w:spacing w:line="640" w:lineRule="exact"/>
        <w:rPr>
          <w:sz w:val="28"/>
          <w:szCs w:val="28"/>
        </w:rPr>
      </w:pPr>
    </w:p>
    <w:p w14:paraId="441E28B4">
      <w:pPr>
        <w:pStyle w:val="27"/>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52F3B5-6D75-4DFC-B02B-E928620BFC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F1AE153-A042-41CE-8F06-640AF1E0287D}"/>
  </w:font>
  <w:font w:name="方正小标宋简体">
    <w:panose1 w:val="02010600010101010101"/>
    <w:charset w:val="86"/>
    <w:family w:val="auto"/>
    <w:pitch w:val="default"/>
    <w:sig w:usb0="00000001" w:usb1="080E0000" w:usb2="00000000" w:usb3="00000000" w:csb0="00040000" w:csb1="00000000"/>
    <w:embedRegular r:id="rId3" w:fontKey="{486B34EB-F179-4307-85F4-A4D6377E7BE7}"/>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embedRegular r:id="rId4" w:fontKey="{DB7979D6-0F81-4B5C-9A97-A9C3CDFFE2EC}"/>
  </w:font>
  <w:font w:name="仿宋">
    <w:panose1 w:val="02010609060101010101"/>
    <w:charset w:val="86"/>
    <w:family w:val="modern"/>
    <w:pitch w:val="default"/>
    <w:sig w:usb0="800002BF" w:usb1="38CF7CFA" w:usb2="00000016" w:usb3="00000000" w:csb0="00040001" w:csb1="00000000"/>
    <w:embedRegular r:id="rId5" w:fontKey="{46AF449B-413A-4C44-BC4F-391134A8C07A}"/>
  </w:font>
  <w:font w:name="方正小标宋_GBK">
    <w:panose1 w:val="03000509000000000000"/>
    <w:charset w:val="86"/>
    <w:family w:val="script"/>
    <w:pitch w:val="default"/>
    <w:sig w:usb0="00000001" w:usb1="080E0000" w:usb2="00000000" w:usb3="00000000" w:csb0="00040000" w:csb1="00000000"/>
    <w:embedRegular r:id="rId6" w:fontKey="{4DD136FA-E1ED-4A3B-93ED-AA440F7E5FA8}"/>
  </w:font>
  <w:font w:name="华文中宋">
    <w:panose1 w:val="02010600040101010101"/>
    <w:charset w:val="86"/>
    <w:family w:val="auto"/>
    <w:pitch w:val="default"/>
    <w:sig w:usb0="00000287" w:usb1="080F0000" w:usb2="00000000" w:usb3="00000000" w:csb0="0004009F" w:csb1="DFD70000"/>
    <w:embedRegular r:id="rId7" w:fontKey="{15A01112-C3A0-4619-BBCE-F10D8BDAF09B}"/>
  </w:font>
  <w:font w:name="华文仿宋">
    <w:panose1 w:val="02010600040101010101"/>
    <w:charset w:val="86"/>
    <w:family w:val="auto"/>
    <w:pitch w:val="default"/>
    <w:sig w:usb0="00000287" w:usb1="080F0000" w:usb2="00000000" w:usb3="00000000" w:csb0="0004009F" w:csb1="DFD70000"/>
    <w:embedRegular r:id="rId8" w:fontKey="{784CFA36-A738-4596-9EAD-5550EF917E54}"/>
  </w:font>
  <w:font w:name="WPSEMBED3">
    <w:panose1 w:val="03000509000000000000"/>
    <w:charset w:val="86"/>
    <w:family w:val="auto"/>
    <w:pitch w:val="default"/>
    <w:sig w:usb0="00000001" w:usb1="080E0000" w:usb2="00000000" w:usb3="00000000" w:csb0="00040000" w:csb1="00000000"/>
  </w:font>
  <w:font w:name="WPSEMBED2">
    <w:panose1 w:val="02010600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FE885">
    <w:pPr>
      <w:pStyle w:val="1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223A0AE1">
                              <w:pPr>
                                <w:pStyle w:val="13"/>
                                <w:jc w:val="center"/>
                              </w:pPr>
                              <w:r>
                                <w:fldChar w:fldCharType="begin"/>
                              </w:r>
                              <w:r>
                                <w:instrText xml:space="preserve">PAGE   \* MERGEFORMAT</w:instrText>
                              </w:r>
                              <w:r>
                                <w:fldChar w:fldCharType="separate"/>
                              </w:r>
                              <w:r>
                                <w:rPr>
                                  <w:lang w:val="zh-CN"/>
                                </w:rPr>
                                <w:t>1</w:t>
                              </w:r>
                              <w:r>
                                <w:fldChar w:fldCharType="end"/>
                              </w:r>
                            </w:p>
                          </w:sdtContent>
                        </w:sdt>
                        <w:p w14:paraId="105ED52C">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223A0AE1">
                        <w:pPr>
                          <w:pStyle w:val="13"/>
                          <w:jc w:val="center"/>
                        </w:pPr>
                        <w:r>
                          <w:fldChar w:fldCharType="begin"/>
                        </w:r>
                        <w:r>
                          <w:instrText xml:space="preserve">PAGE   \* MERGEFORMAT</w:instrText>
                        </w:r>
                        <w:r>
                          <w:fldChar w:fldCharType="separate"/>
                        </w:r>
                        <w:r>
                          <w:rPr>
                            <w:lang w:val="zh-CN"/>
                          </w:rPr>
                          <w:t>1</w:t>
                        </w:r>
                        <w:r>
                          <w:fldChar w:fldCharType="end"/>
                        </w:r>
                      </w:p>
                    </w:sdtContent>
                  </w:sdt>
                  <w:p w14:paraId="105ED52C">
                    <w:pPr>
                      <w:pStyle w:val="2"/>
                    </w:pPr>
                  </w:p>
                </w:txbxContent>
              </v:textbox>
            </v:shape>
          </w:pict>
        </mc:Fallback>
      </mc:AlternateContent>
    </w:r>
  </w:p>
  <w:p w14:paraId="2E8FAF83">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66D40">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BC2CC">
    <w:pPr>
      <w:pStyle w:val="1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867A61">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5867A61">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BBDEC">
    <w:pPr>
      <w:pStyle w:val="1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3D0287">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63D0287">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6930B">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6826FE">
                          <w:pPr>
                            <w:pStyle w:val="13"/>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16826FE">
                    <w:pPr>
                      <w:pStyle w:val="13"/>
                    </w:pPr>
                    <w:r>
                      <w:fldChar w:fldCharType="begin"/>
                    </w:r>
                    <w:r>
                      <w:instrText xml:space="preserve"> PAGE  \* MERGEFORMAT </w:instrText>
                    </w:r>
                    <w:r>
                      <w:fldChar w:fldCharType="separate"/>
                    </w:r>
                    <w:r>
                      <w:t>23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B9F03">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3DB9F03">
                    <w:pPr>
                      <w:pStyle w:val="13"/>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0D778">
    <w:pPr>
      <w:pStyle w:val="1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15B950">
                          <w:pPr>
                            <w:pStyle w:val="13"/>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515B950">
                    <w:pPr>
                      <w:pStyle w:val="13"/>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A2678">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5EA2678">
                    <w:pPr>
                      <w:pStyle w:val="13"/>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D9B1D">
    <w:pPr>
      <w:pStyle w:val="13"/>
      <w:framePr w:wrap="around" w:vAnchor="text" w:hAnchor="margin" w:xAlign="right" w:y="1"/>
      <w:rPr>
        <w:rStyle w:val="24"/>
      </w:rPr>
    </w:pPr>
  </w:p>
  <w:p w14:paraId="6D09C8E8">
    <w:pPr>
      <w:pStyle w:val="1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48953">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B8E7A">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E3A7">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C622C">
    <w:pPr>
      <w:pStyle w:val="1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8B7B5">
    <w:pPr>
      <w:pStyle w:val="15"/>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5CB65">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00172A27"/>
    <w:rsid w:val="000273CC"/>
    <w:rsid w:val="00125861"/>
    <w:rsid w:val="00172A27"/>
    <w:rsid w:val="004E2611"/>
    <w:rsid w:val="00577CA6"/>
    <w:rsid w:val="006275E2"/>
    <w:rsid w:val="00727D87"/>
    <w:rsid w:val="00942B50"/>
    <w:rsid w:val="00953D9C"/>
    <w:rsid w:val="0097492C"/>
    <w:rsid w:val="00BF1C83"/>
    <w:rsid w:val="00CF1D6C"/>
    <w:rsid w:val="00D07D46"/>
    <w:rsid w:val="00EF7950"/>
    <w:rsid w:val="00F93FDF"/>
    <w:rsid w:val="011A24F4"/>
    <w:rsid w:val="011E3478"/>
    <w:rsid w:val="01500697"/>
    <w:rsid w:val="018E53BB"/>
    <w:rsid w:val="01A8210A"/>
    <w:rsid w:val="01B841E6"/>
    <w:rsid w:val="01B96DFD"/>
    <w:rsid w:val="01FC3891"/>
    <w:rsid w:val="022E7E09"/>
    <w:rsid w:val="02330306"/>
    <w:rsid w:val="02566131"/>
    <w:rsid w:val="02761F3B"/>
    <w:rsid w:val="02897931"/>
    <w:rsid w:val="029A7D90"/>
    <w:rsid w:val="02CD5A32"/>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5DE1D42"/>
    <w:rsid w:val="061F0AE6"/>
    <w:rsid w:val="063127B9"/>
    <w:rsid w:val="064222D0"/>
    <w:rsid w:val="06500E91"/>
    <w:rsid w:val="06C5443F"/>
    <w:rsid w:val="06D15558"/>
    <w:rsid w:val="06DC2725"/>
    <w:rsid w:val="06E96A95"/>
    <w:rsid w:val="06FB7003"/>
    <w:rsid w:val="07212609"/>
    <w:rsid w:val="07414C7E"/>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5A57CC"/>
    <w:rsid w:val="0A7B72A1"/>
    <w:rsid w:val="0A8245A3"/>
    <w:rsid w:val="0A95265E"/>
    <w:rsid w:val="0AB3379D"/>
    <w:rsid w:val="0AB75563"/>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530637"/>
    <w:rsid w:val="146141DF"/>
    <w:rsid w:val="14665D24"/>
    <w:rsid w:val="146D2C0E"/>
    <w:rsid w:val="147D0074"/>
    <w:rsid w:val="148D578D"/>
    <w:rsid w:val="14A168E7"/>
    <w:rsid w:val="14B140D6"/>
    <w:rsid w:val="150026A8"/>
    <w:rsid w:val="1506241F"/>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283784"/>
    <w:rsid w:val="18761BDB"/>
    <w:rsid w:val="18812545"/>
    <w:rsid w:val="18BC5F12"/>
    <w:rsid w:val="18BD1C8B"/>
    <w:rsid w:val="18D22DC9"/>
    <w:rsid w:val="18DA6CE0"/>
    <w:rsid w:val="18E13BCB"/>
    <w:rsid w:val="18EE62E8"/>
    <w:rsid w:val="19031D93"/>
    <w:rsid w:val="190F698A"/>
    <w:rsid w:val="193066BD"/>
    <w:rsid w:val="19474B83"/>
    <w:rsid w:val="195B1BCF"/>
    <w:rsid w:val="195E6FCA"/>
    <w:rsid w:val="19925AEB"/>
    <w:rsid w:val="19AF29F7"/>
    <w:rsid w:val="19AF4536"/>
    <w:rsid w:val="19B6182A"/>
    <w:rsid w:val="19D35C0A"/>
    <w:rsid w:val="19EF24A3"/>
    <w:rsid w:val="1A364C38"/>
    <w:rsid w:val="1A5A58B6"/>
    <w:rsid w:val="1A687305"/>
    <w:rsid w:val="1A687CD6"/>
    <w:rsid w:val="1A8E48BD"/>
    <w:rsid w:val="1A993A29"/>
    <w:rsid w:val="1AF35C55"/>
    <w:rsid w:val="1B027E29"/>
    <w:rsid w:val="1B101769"/>
    <w:rsid w:val="1B456946"/>
    <w:rsid w:val="1B4F51DF"/>
    <w:rsid w:val="1B5C578B"/>
    <w:rsid w:val="1B6D0ED3"/>
    <w:rsid w:val="1B7E1BA5"/>
    <w:rsid w:val="1B7F06C9"/>
    <w:rsid w:val="1BA86C22"/>
    <w:rsid w:val="1BC3660E"/>
    <w:rsid w:val="1BD45C69"/>
    <w:rsid w:val="1BD73B49"/>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8809D2"/>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827D58"/>
    <w:rsid w:val="239C3958"/>
    <w:rsid w:val="23A61C99"/>
    <w:rsid w:val="23D41D17"/>
    <w:rsid w:val="247E2C16"/>
    <w:rsid w:val="249266C1"/>
    <w:rsid w:val="24DD793C"/>
    <w:rsid w:val="24FA29B1"/>
    <w:rsid w:val="25461A4C"/>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1E7B9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9E493C"/>
    <w:rsid w:val="29D054FB"/>
    <w:rsid w:val="29F71279"/>
    <w:rsid w:val="2A07200A"/>
    <w:rsid w:val="2A107348"/>
    <w:rsid w:val="2A5E5CED"/>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CF64487"/>
    <w:rsid w:val="2D3175C6"/>
    <w:rsid w:val="2D355E3C"/>
    <w:rsid w:val="2D4A7B39"/>
    <w:rsid w:val="2D57250A"/>
    <w:rsid w:val="2D7245D7"/>
    <w:rsid w:val="2DB33930"/>
    <w:rsid w:val="2DC07DFB"/>
    <w:rsid w:val="2DC53269"/>
    <w:rsid w:val="2DF83A39"/>
    <w:rsid w:val="2DFA2441"/>
    <w:rsid w:val="2DFD4BAB"/>
    <w:rsid w:val="2E0F73E1"/>
    <w:rsid w:val="2E1169DA"/>
    <w:rsid w:val="2E1563DF"/>
    <w:rsid w:val="2E2A34C6"/>
    <w:rsid w:val="2E383E35"/>
    <w:rsid w:val="2E3F51C4"/>
    <w:rsid w:val="2E463EBE"/>
    <w:rsid w:val="2E4A0987"/>
    <w:rsid w:val="2E580034"/>
    <w:rsid w:val="2E7021F2"/>
    <w:rsid w:val="2EBE2687"/>
    <w:rsid w:val="2EE07DC0"/>
    <w:rsid w:val="2F08082A"/>
    <w:rsid w:val="2F236894"/>
    <w:rsid w:val="2F350A84"/>
    <w:rsid w:val="2F454D87"/>
    <w:rsid w:val="2F464330"/>
    <w:rsid w:val="2F4B7B98"/>
    <w:rsid w:val="2F561FC3"/>
    <w:rsid w:val="2F68200A"/>
    <w:rsid w:val="2F6D396B"/>
    <w:rsid w:val="2F760342"/>
    <w:rsid w:val="2F827A5E"/>
    <w:rsid w:val="2FB120F1"/>
    <w:rsid w:val="2FB353F8"/>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2A4DD4"/>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4E2190"/>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AF496B"/>
    <w:rsid w:val="37EA0AA2"/>
    <w:rsid w:val="382014AF"/>
    <w:rsid w:val="388C54AA"/>
    <w:rsid w:val="38DE5291"/>
    <w:rsid w:val="38E54BBA"/>
    <w:rsid w:val="38E62990"/>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181801"/>
    <w:rsid w:val="3B3D6F2F"/>
    <w:rsid w:val="3B5E12EE"/>
    <w:rsid w:val="3B6E63CB"/>
    <w:rsid w:val="3B774A07"/>
    <w:rsid w:val="3B8907CC"/>
    <w:rsid w:val="3B9A612F"/>
    <w:rsid w:val="3B9E4539"/>
    <w:rsid w:val="3BC203D3"/>
    <w:rsid w:val="3BC23901"/>
    <w:rsid w:val="3BC92571"/>
    <w:rsid w:val="3BF464AA"/>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A67024"/>
    <w:rsid w:val="40EA0FAE"/>
    <w:rsid w:val="41000958"/>
    <w:rsid w:val="41175B2C"/>
    <w:rsid w:val="413B4B1F"/>
    <w:rsid w:val="41460C02"/>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A03005"/>
    <w:rsid w:val="46E979A2"/>
    <w:rsid w:val="46FC3DF0"/>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8F055E1"/>
    <w:rsid w:val="490B41C9"/>
    <w:rsid w:val="49282FCC"/>
    <w:rsid w:val="494A0AAA"/>
    <w:rsid w:val="496E51FF"/>
    <w:rsid w:val="4971418B"/>
    <w:rsid w:val="498E0B70"/>
    <w:rsid w:val="499C6CC0"/>
    <w:rsid w:val="49B22896"/>
    <w:rsid w:val="49C36851"/>
    <w:rsid w:val="49F20EE5"/>
    <w:rsid w:val="4A056E6A"/>
    <w:rsid w:val="4A394D65"/>
    <w:rsid w:val="4A3A30BB"/>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952BF"/>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7D0868"/>
    <w:rsid w:val="51B90429"/>
    <w:rsid w:val="51C770FB"/>
    <w:rsid w:val="51E67581"/>
    <w:rsid w:val="520F496B"/>
    <w:rsid w:val="52866FBA"/>
    <w:rsid w:val="52A2537B"/>
    <w:rsid w:val="52B834F4"/>
    <w:rsid w:val="52BA781B"/>
    <w:rsid w:val="52DB4C0C"/>
    <w:rsid w:val="530F10A1"/>
    <w:rsid w:val="531A33A4"/>
    <w:rsid w:val="53364538"/>
    <w:rsid w:val="53691386"/>
    <w:rsid w:val="538452A3"/>
    <w:rsid w:val="53BE3F28"/>
    <w:rsid w:val="53E60D84"/>
    <w:rsid w:val="53EF6DA5"/>
    <w:rsid w:val="54364D4A"/>
    <w:rsid w:val="54482775"/>
    <w:rsid w:val="544B7B6A"/>
    <w:rsid w:val="54694499"/>
    <w:rsid w:val="549D01C5"/>
    <w:rsid w:val="54A0435F"/>
    <w:rsid w:val="54A60154"/>
    <w:rsid w:val="54E52B8E"/>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716ADD"/>
    <w:rsid w:val="57B00D9C"/>
    <w:rsid w:val="57CA580C"/>
    <w:rsid w:val="57D139A2"/>
    <w:rsid w:val="57DE0CFA"/>
    <w:rsid w:val="58077BC8"/>
    <w:rsid w:val="5825157B"/>
    <w:rsid w:val="5827389A"/>
    <w:rsid w:val="58276B45"/>
    <w:rsid w:val="58536643"/>
    <w:rsid w:val="58564D34"/>
    <w:rsid w:val="58683B10"/>
    <w:rsid w:val="5874777C"/>
    <w:rsid w:val="58886673"/>
    <w:rsid w:val="58AE691E"/>
    <w:rsid w:val="58CB74D0"/>
    <w:rsid w:val="598332BB"/>
    <w:rsid w:val="598F49A2"/>
    <w:rsid w:val="59B9792C"/>
    <w:rsid w:val="59D14FBA"/>
    <w:rsid w:val="59D35B1C"/>
    <w:rsid w:val="59D40F03"/>
    <w:rsid w:val="59E26C8B"/>
    <w:rsid w:val="5A146D55"/>
    <w:rsid w:val="5A1C61C8"/>
    <w:rsid w:val="5A2734CC"/>
    <w:rsid w:val="5A2870C2"/>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B3C43"/>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A59F3"/>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29FB"/>
    <w:rsid w:val="655C3B7E"/>
    <w:rsid w:val="655D5954"/>
    <w:rsid w:val="656C3F5A"/>
    <w:rsid w:val="656F3CFB"/>
    <w:rsid w:val="657038D9"/>
    <w:rsid w:val="6578453C"/>
    <w:rsid w:val="657F58CB"/>
    <w:rsid w:val="659A588A"/>
    <w:rsid w:val="65A50952"/>
    <w:rsid w:val="65E971E8"/>
    <w:rsid w:val="66456B14"/>
    <w:rsid w:val="6647071F"/>
    <w:rsid w:val="66636F9A"/>
    <w:rsid w:val="66822308"/>
    <w:rsid w:val="668B3DA0"/>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B25305"/>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F7090D"/>
    <w:rsid w:val="743133E3"/>
    <w:rsid w:val="744D3038"/>
    <w:rsid w:val="747F2F2B"/>
    <w:rsid w:val="74C01A5C"/>
    <w:rsid w:val="74C13209"/>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6E39F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866C78"/>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91F3A"/>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7">
    <w:name w:val="Normal Indent"/>
    <w:basedOn w:val="1"/>
    <w:next w:val="1"/>
    <w:autoRedefine/>
    <w:qFormat/>
    <w:uiPriority w:val="0"/>
    <w:pPr>
      <w:widowControl/>
      <w:ind w:firstLine="420"/>
      <w:jc w:val="left"/>
    </w:pPr>
    <w:rPr>
      <w:kern w:val="0"/>
      <w:sz w:val="20"/>
      <w:szCs w:val="20"/>
    </w:rPr>
  </w:style>
  <w:style w:type="paragraph" w:styleId="8">
    <w:name w:val="annotation text"/>
    <w:basedOn w:val="1"/>
    <w:semiHidden/>
    <w:qFormat/>
    <w:uiPriority w:val="0"/>
    <w:pPr>
      <w:jc w:val="left"/>
    </w:pPr>
  </w:style>
  <w:style w:type="paragraph" w:styleId="9">
    <w:name w:val="Body Text Indent"/>
    <w:basedOn w:val="1"/>
    <w:next w:val="10"/>
    <w:autoRedefine/>
    <w:qFormat/>
    <w:uiPriority w:val="0"/>
    <w:pPr>
      <w:spacing w:after="120"/>
      <w:ind w:left="420" w:leftChars="200"/>
    </w:pPr>
  </w:style>
  <w:style w:type="paragraph" w:styleId="10">
    <w:name w:val="annotation subject"/>
    <w:basedOn w:val="8"/>
    <w:next w:val="1"/>
    <w:qFormat/>
    <w:uiPriority w:val="0"/>
    <w:rPr>
      <w:b/>
      <w:bCs/>
    </w:rPr>
  </w:style>
  <w:style w:type="paragraph" w:styleId="11">
    <w:name w:val="Plain Text"/>
    <w:basedOn w:val="1"/>
    <w:autoRedefine/>
    <w:qFormat/>
    <w:uiPriority w:val="0"/>
    <w:rPr>
      <w:rFonts w:ascii="宋体" w:hAnsi="Courier New"/>
      <w:szCs w:val="21"/>
    </w:rPr>
  </w:style>
  <w:style w:type="paragraph" w:styleId="12">
    <w:name w:val="Body Text Indent 2"/>
    <w:basedOn w:val="1"/>
    <w:autoRedefine/>
    <w:qFormat/>
    <w:uiPriority w:val="0"/>
    <w:pPr>
      <w:ind w:firstLine="640" w:firstLineChars="200"/>
    </w:pPr>
    <w:rPr>
      <w:color w:val="0000FF"/>
      <w:kern w:val="0"/>
      <w:sz w:val="32"/>
    </w:rPr>
  </w:style>
  <w:style w:type="paragraph" w:styleId="13">
    <w:name w:val="footer"/>
    <w:basedOn w:val="1"/>
    <w:autoRedefine/>
    <w:semiHidden/>
    <w:unhideWhenUsed/>
    <w:qFormat/>
    <w:uiPriority w:val="99"/>
    <w:pPr>
      <w:tabs>
        <w:tab w:val="center" w:pos="4153"/>
        <w:tab w:val="right" w:pos="8306"/>
      </w:tabs>
      <w:snapToGrid w:val="0"/>
      <w:jc w:val="left"/>
    </w:pPr>
    <w:rPr>
      <w:sz w:val="18"/>
      <w:szCs w:val="18"/>
    </w:rPr>
  </w:style>
  <w:style w:type="paragraph" w:styleId="14">
    <w:name w:val="envelope return"/>
    <w:basedOn w:val="1"/>
    <w:autoRedefine/>
    <w:qFormat/>
    <w:uiPriority w:val="0"/>
    <w:pPr>
      <w:snapToGrid w:val="0"/>
    </w:pPr>
    <w:rPr>
      <w:rFonts w:ascii="Arial" w:hAnsi="Arial" w:cs="Arial"/>
    </w:rPr>
  </w:style>
  <w:style w:type="paragraph" w:styleId="15">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spacing w:beforeAutospacing="1" w:afterAutospacing="1"/>
      <w:jc w:val="left"/>
    </w:pPr>
    <w:rPr>
      <w:kern w:val="0"/>
      <w:sz w:val="24"/>
    </w:rPr>
  </w:style>
  <w:style w:type="paragraph" w:styleId="18">
    <w:name w:val="Body Text First Indent"/>
    <w:basedOn w:val="2"/>
    <w:qFormat/>
    <w:uiPriority w:val="0"/>
    <w:pPr>
      <w:ind w:firstLine="420" w:firstLineChars="100"/>
    </w:pPr>
  </w:style>
  <w:style w:type="paragraph" w:styleId="19">
    <w:name w:val="Body Text First Indent 2"/>
    <w:basedOn w:val="9"/>
    <w:next w:val="7"/>
    <w:autoRedefine/>
    <w:qFormat/>
    <w:uiPriority w:val="0"/>
    <w:pPr>
      <w:ind w:firstLine="420" w:firstLineChars="200"/>
    </w:pPr>
    <w:rPr>
      <w:rFonts w:ascii="宋体"/>
      <w:kern w:val="0"/>
      <w:sz w:val="20"/>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autoRedefine/>
    <w:qFormat/>
    <w:uiPriority w:val="0"/>
    <w:rPr>
      <w:b/>
      <w:bCs/>
    </w:rPr>
  </w:style>
  <w:style w:type="character" w:styleId="24">
    <w:name w:val="page number"/>
    <w:qFormat/>
    <w:uiPriority w:val="0"/>
  </w:style>
  <w:style w:type="paragraph" w:customStyle="1" w:styleId="25">
    <w:name w:val="font5"/>
    <w:basedOn w:val="26"/>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6">
    <w:name w:val="正文_0"/>
    <w:next w:val="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8">
    <w:name w:val="font21"/>
    <w:basedOn w:val="22"/>
    <w:autoRedefine/>
    <w:qFormat/>
    <w:uiPriority w:val="0"/>
    <w:rPr>
      <w:rFonts w:hint="eastAsia" w:ascii="宋体" w:hAnsi="宋体" w:eastAsia="宋体" w:cs="宋体"/>
      <w:color w:val="000000"/>
      <w:sz w:val="28"/>
      <w:szCs w:val="28"/>
      <w:u w:val="none"/>
      <w:vertAlign w:val="superscript"/>
    </w:rPr>
  </w:style>
  <w:style w:type="character" w:customStyle="1" w:styleId="29">
    <w:name w:val="font61"/>
    <w:basedOn w:val="22"/>
    <w:autoRedefine/>
    <w:qFormat/>
    <w:uiPriority w:val="0"/>
    <w:rPr>
      <w:rFonts w:hint="eastAsia" w:ascii="宋体" w:hAnsi="宋体" w:eastAsia="宋体" w:cs="宋体"/>
      <w:color w:val="000000"/>
      <w:sz w:val="28"/>
      <w:szCs w:val="28"/>
      <w:u w:val="none"/>
      <w:vertAlign w:val="superscript"/>
    </w:rPr>
  </w:style>
  <w:style w:type="character" w:customStyle="1" w:styleId="30">
    <w:name w:val="font01"/>
    <w:basedOn w:val="22"/>
    <w:autoRedefine/>
    <w:qFormat/>
    <w:uiPriority w:val="0"/>
    <w:rPr>
      <w:rFonts w:hint="eastAsia" w:ascii="宋体" w:hAnsi="宋体" w:eastAsia="宋体" w:cs="宋体"/>
      <w:color w:val="000000"/>
      <w:sz w:val="28"/>
      <w:szCs w:val="28"/>
      <w:u w:val="none"/>
      <w:vertAlign w:val="superscript"/>
    </w:rPr>
  </w:style>
  <w:style w:type="paragraph" w:styleId="31">
    <w:name w:val="List Paragraph"/>
    <w:basedOn w:val="1"/>
    <w:autoRedefine/>
    <w:unhideWhenUsed/>
    <w:qFormat/>
    <w:uiPriority w:val="99"/>
    <w:pPr>
      <w:ind w:firstLine="420" w:firstLineChars="200"/>
    </w:pPr>
  </w:style>
  <w:style w:type="paragraph" w:customStyle="1" w:styleId="32">
    <w:name w:val="Normal_0"/>
    <w:qFormat/>
    <w:uiPriority w:val="0"/>
    <w:rPr>
      <w:rFonts w:ascii="Calibri" w:hAnsi="Calibri" w:eastAsia="Times New Roman" w:cs="Times New Roman"/>
      <w:sz w:val="24"/>
      <w:szCs w:val="24"/>
      <w:lang w:val="en-US" w:eastAsia="zh-CN" w:bidi="ar-SA"/>
    </w:r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Table Text"/>
    <w:basedOn w:val="1"/>
    <w:semiHidden/>
    <w:qFormat/>
    <w:uiPriority w:val="0"/>
    <w:rPr>
      <w:rFonts w:ascii="宋体" w:hAnsi="宋体" w:cs="宋体"/>
      <w:sz w:val="11"/>
      <w:szCs w:val="11"/>
      <w:lang w:eastAsia="en-US"/>
    </w:rPr>
  </w:style>
  <w:style w:type="paragraph" w:customStyle="1" w:styleId="35">
    <w:name w:val="p0"/>
    <w:basedOn w:val="1"/>
    <w:qFormat/>
    <w:uiPriority w:val="0"/>
    <w:pPr>
      <w:widowControl/>
    </w:pPr>
    <w:rPr>
      <w:szCs w:val="21"/>
    </w:rPr>
  </w:style>
  <w:style w:type="paragraph" w:customStyle="1" w:styleId="36">
    <w:name w:val="表格文字"/>
    <w:basedOn w:val="1"/>
    <w:qFormat/>
    <w:uiPriority w:val="0"/>
    <w:pPr>
      <w:spacing w:before="25" w:after="25"/>
      <w:jc w:val="left"/>
    </w:pPr>
    <w:rPr>
      <w:rFonts w:ascii="Calibri" w:hAnsi="Calibri"/>
      <w:spacing w:val="10"/>
      <w:kern w:val="0"/>
      <w:sz w:val="24"/>
    </w:rPr>
  </w:style>
  <w:style w:type="paragraph" w:customStyle="1" w:styleId="37">
    <w:name w:val="Definition Term"/>
    <w:basedOn w:val="1"/>
    <w:next w:val="1"/>
    <w:qFormat/>
    <w:uiPriority w:val="0"/>
    <w:pPr>
      <w:spacing w:line="288" w:lineRule="auto"/>
    </w:pPr>
  </w:style>
  <w:style w:type="character" w:customStyle="1" w:styleId="38">
    <w:name w:val="font81"/>
    <w:basedOn w:val="22"/>
    <w:qFormat/>
    <w:uiPriority w:val="0"/>
    <w:rPr>
      <w:rFonts w:hint="eastAsia" w:ascii="宋体" w:hAnsi="宋体" w:eastAsia="宋体" w:cs="宋体"/>
      <w:color w:val="000000"/>
      <w:sz w:val="24"/>
      <w:szCs w:val="24"/>
      <w:u w:val="none"/>
    </w:rPr>
  </w:style>
  <w:style w:type="character" w:customStyle="1" w:styleId="39">
    <w:name w:val="font41"/>
    <w:basedOn w:val="22"/>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5711</Words>
  <Characters>5956</Characters>
  <Lines>111</Lines>
  <Paragraphs>31</Paragraphs>
  <TotalTime>15</TotalTime>
  <ScaleCrop>false</ScaleCrop>
  <LinksUpToDate>false</LinksUpToDate>
  <CharactersWithSpaces>6073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2025-11-24T01:15:00Z</dcterms:created>
  <dc:creator>Administrator</dc:creator>
  <cp:lastModifiedBy>_盟</cp:lastModifiedBy>
  <cp:lastPrinted>2025-11-19T09:23:00Z</cp:lastPrinted>
  <dcterms:modified xsi:type="dcterms:W3CDTF">2025-12-02T01:41:09Z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8DF2CFBB4BA340369F96CF878D18D72E_13</vt:lpwstr>
  </property>
  <property fmtid="{D5CDD505-2E9C-101B-9397-08002B2CF9AE}" pid="4" name="KSOTemplateDocerSaveRecord">
    <vt:lpwstr>eyJoZGlkIjoiNjc4YWJhNTgzODZhMTg3NjFiNjc3OGE0Y2NlZTQ4YWYiLCJ1c2VySWQiOiI0MTc2NDk5MTkifQ==</vt:lpwstr>
  </property>
</Properties>
</file>